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38AA1" w14:textId="77777777" w:rsidR="00271F25" w:rsidRDefault="00271F25" w:rsidP="00271F25">
      <w:pPr>
        <w:jc w:val="center"/>
        <w:rPr>
          <w:b/>
          <w:sz w:val="32"/>
          <w:szCs w:val="32"/>
        </w:rPr>
      </w:pPr>
      <w:r w:rsidRPr="00271F25">
        <w:rPr>
          <w:b/>
          <w:sz w:val="32"/>
          <w:szCs w:val="32"/>
        </w:rPr>
        <w:t xml:space="preserve">FUNDING THE PURPOSES OF STATE SUPPORT </w:t>
      </w:r>
    </w:p>
    <w:p w14:paraId="41A45E48" w14:textId="3D7A24F2" w:rsidR="002D6486" w:rsidRDefault="00271F25" w:rsidP="00F930BC">
      <w:pPr>
        <w:spacing w:line="480" w:lineRule="auto"/>
        <w:jc w:val="center"/>
        <w:rPr>
          <w:b/>
          <w:sz w:val="32"/>
          <w:szCs w:val="32"/>
        </w:rPr>
      </w:pPr>
      <w:r w:rsidRPr="00271F25">
        <w:rPr>
          <w:b/>
          <w:sz w:val="32"/>
          <w:szCs w:val="32"/>
        </w:rPr>
        <w:t>FOR HIGHER EDUCATION</w:t>
      </w:r>
    </w:p>
    <w:p w14:paraId="11E82551" w14:textId="16AC6B17" w:rsidR="00271F25" w:rsidRPr="00D94CE4" w:rsidRDefault="00D94CE4" w:rsidP="00D94CE4">
      <w:pPr>
        <w:spacing w:line="480" w:lineRule="auto"/>
        <w:jc w:val="center"/>
        <w:rPr>
          <w:b/>
          <w:sz w:val="28"/>
          <w:szCs w:val="28"/>
        </w:rPr>
      </w:pPr>
      <w:r w:rsidRPr="00D94CE4">
        <w:rPr>
          <w:b/>
          <w:sz w:val="28"/>
          <w:szCs w:val="28"/>
        </w:rPr>
        <w:t>By Robin C. Capehart, J.D., LL.M. in Taxation</w:t>
      </w:r>
    </w:p>
    <w:p w14:paraId="59C1C6B2" w14:textId="60E3FD4B" w:rsidR="00E64792" w:rsidRDefault="00F930BC" w:rsidP="006E5F50">
      <w:pPr>
        <w:spacing w:line="480" w:lineRule="auto"/>
        <w:jc w:val="both"/>
      </w:pPr>
      <w:r>
        <w:tab/>
      </w:r>
      <w:r w:rsidR="00156FF1">
        <w:t xml:space="preserve">Over the last 25 years, higher education </w:t>
      </w:r>
      <w:r w:rsidR="00456C63">
        <w:t xml:space="preserve">finance </w:t>
      </w:r>
      <w:r w:rsidR="00156FF1">
        <w:t>policy in West Virginia has been subject to a series of fits and starts. Funding models have come and gone; lofty goals</w:t>
      </w:r>
      <w:r w:rsidR="00E64792">
        <w:t xml:space="preserve">, such as peer equity, </w:t>
      </w:r>
      <w:r w:rsidR="00156FF1">
        <w:t xml:space="preserve">have been </w:t>
      </w:r>
      <w:r w:rsidR="00456C63">
        <w:t xml:space="preserve">boldly pronounced, then ignored; </w:t>
      </w:r>
      <w:r w:rsidR="00156FF1">
        <w:t xml:space="preserve">and </w:t>
      </w:r>
      <w:r w:rsidR="00E64792">
        <w:t xml:space="preserve">there has been universal agreement that higher education is vital to the future of the state, yet it’s never considered a </w:t>
      </w:r>
      <w:r w:rsidR="00A1111E">
        <w:t xml:space="preserve">funding </w:t>
      </w:r>
      <w:r w:rsidR="00E64792">
        <w:t>priority.</w:t>
      </w:r>
      <w:r w:rsidR="00456C63">
        <w:t xml:space="preserve"> </w:t>
      </w:r>
    </w:p>
    <w:p w14:paraId="15F8F45C" w14:textId="0EAE862C" w:rsidR="00456C63" w:rsidRDefault="00456C63" w:rsidP="006E5F50">
      <w:pPr>
        <w:spacing w:line="480" w:lineRule="auto"/>
        <w:jc w:val="both"/>
      </w:pPr>
      <w:r>
        <w:tab/>
        <w:t>In 2011, a report by the Higher Education Policy Commission’s Efficiency Project properly noted that the state’s finance policy “lacked clear philosophical direction.”</w:t>
      </w:r>
      <w:r>
        <w:rPr>
          <w:rStyle w:val="FootnoteReference"/>
        </w:rPr>
        <w:footnoteReference w:id="1"/>
      </w:r>
    </w:p>
    <w:p w14:paraId="0E61BF79" w14:textId="77777777" w:rsidR="00387B59" w:rsidRDefault="00456C63" w:rsidP="006E5F50">
      <w:pPr>
        <w:spacing w:line="480" w:lineRule="auto"/>
        <w:jc w:val="both"/>
      </w:pPr>
      <w:r>
        <w:tab/>
        <w:t xml:space="preserve">The root cause of this </w:t>
      </w:r>
      <w:r w:rsidR="00387B59">
        <w:t xml:space="preserve">predicament is the </w:t>
      </w:r>
      <w:r>
        <w:t xml:space="preserve">uncertainty </w:t>
      </w:r>
      <w:r w:rsidR="00387B59">
        <w:t>that exists in</w:t>
      </w:r>
      <w:r>
        <w:t xml:space="preserve"> establishing and implementing finance policy </w:t>
      </w:r>
      <w:r w:rsidR="00387B59">
        <w:t>as well as the failure of the Legislature to fund directives it imposes by statute.</w:t>
      </w:r>
    </w:p>
    <w:p w14:paraId="32BDC534" w14:textId="1B024205" w:rsidR="0078452B" w:rsidRDefault="00FA02E8" w:rsidP="006E5F50">
      <w:pPr>
        <w:spacing w:line="480" w:lineRule="auto"/>
        <w:jc w:val="both"/>
      </w:pPr>
      <w:r>
        <w:tab/>
        <w:t xml:space="preserve">Currently, the funding of the state’s colleges and universities is fairly simple – same as last year. There is a distinct lack of any correlation between the </w:t>
      </w:r>
      <w:r w:rsidR="0078452B">
        <w:t>level</w:t>
      </w:r>
      <w:r>
        <w:t xml:space="preserve"> of support each individual institution receives each year and a </w:t>
      </w:r>
      <w:r w:rsidR="002F2A08">
        <w:t>clear</w:t>
      </w:r>
      <w:r>
        <w:t>, well-thought formula. On occasion, the state’s budget will provide for a diversion - an across-the-board cut</w:t>
      </w:r>
      <w:r w:rsidR="002F2A08">
        <w:t xml:space="preserve"> or additional funding for an institution that responds to an immediate need. For the most part, however, an</w:t>
      </w:r>
      <w:r w:rsidR="0026773C">
        <w:t xml:space="preserve"> institution’s state appropriation</w:t>
      </w:r>
      <w:bookmarkStart w:id="0" w:name="_GoBack"/>
      <w:bookmarkEnd w:id="0"/>
      <w:r w:rsidR="002F2A08">
        <w:t xml:space="preserve"> follows a pattern that is rooted in the amounts determined in the late 1990s.</w:t>
      </w:r>
    </w:p>
    <w:p w14:paraId="78D652E6" w14:textId="333CB958" w:rsidR="002F2A08" w:rsidRDefault="0078452B" w:rsidP="006E5F50">
      <w:pPr>
        <w:spacing w:line="480" w:lineRule="auto"/>
        <w:jc w:val="both"/>
      </w:pPr>
      <w:r>
        <w:lastRenderedPageBreak/>
        <w:tab/>
        <w:t>This paper suggest</w:t>
      </w:r>
      <w:r w:rsidR="00313F31">
        <w:t>s</w:t>
      </w:r>
      <w:r>
        <w:t xml:space="preserve"> that the lack of </w:t>
      </w:r>
      <w:r w:rsidR="003C0EE0">
        <w:t xml:space="preserve">a logical method for the distribution of state funding to each institution rests with the lack of a clearly defined </w:t>
      </w:r>
      <w:r w:rsidR="003860C2">
        <w:t xml:space="preserve">philosophical purpose for </w:t>
      </w:r>
      <w:r w:rsidR="003C0EE0">
        <w:t xml:space="preserve">subsidization. True, </w:t>
      </w:r>
      <w:r w:rsidR="00B9183A">
        <w:t xml:space="preserve">the Code is replete with </w:t>
      </w:r>
      <w:r w:rsidR="00DD1004">
        <w:t xml:space="preserve">legislative directives and mandates – many of which fail to include a solemn promise of funding. Yet, there is no clear reason as to why the taxpayers of West Virginia subsidize its institutions of higher learning. </w:t>
      </w:r>
    </w:p>
    <w:p w14:paraId="4A1DBC57" w14:textId="3AD06DCE" w:rsidR="009E6683" w:rsidRDefault="00DD1004" w:rsidP="006E5F50">
      <w:pPr>
        <w:spacing w:line="480" w:lineRule="auto"/>
        <w:jc w:val="both"/>
      </w:pPr>
      <w:r>
        <w:tab/>
        <w:t>From a 30,000</w:t>
      </w:r>
      <w:r w:rsidR="009E6683">
        <w:t>-</w:t>
      </w:r>
      <w:r>
        <w:t>foot view of the Code</w:t>
      </w:r>
      <w:r w:rsidR="009E6683">
        <w:t>, regulations and an</w:t>
      </w:r>
      <w:r>
        <w:t xml:space="preserve"> historical </w:t>
      </w:r>
      <w:r w:rsidR="009E6683">
        <w:t>perspective of state funding</w:t>
      </w:r>
      <w:r>
        <w:t xml:space="preserve">, there appears to be three reasons for taxpayer </w:t>
      </w:r>
      <w:r w:rsidR="009E6683">
        <w:t>support of higher education:</w:t>
      </w:r>
    </w:p>
    <w:p w14:paraId="1BEBA973" w14:textId="1EE854F0" w:rsidR="009E6683" w:rsidRDefault="009E6683" w:rsidP="009E6683">
      <w:pPr>
        <w:pStyle w:val="ListParagraph"/>
        <w:numPr>
          <w:ilvl w:val="0"/>
          <w:numId w:val="2"/>
        </w:numPr>
        <w:spacing w:line="480" w:lineRule="auto"/>
        <w:jc w:val="both"/>
      </w:pPr>
      <w:r>
        <w:t>Support for general operations;</w:t>
      </w:r>
    </w:p>
    <w:p w14:paraId="710D1B97" w14:textId="746BB4C7" w:rsidR="009E6683" w:rsidRDefault="009E6683" w:rsidP="009E6683">
      <w:pPr>
        <w:pStyle w:val="ListParagraph"/>
        <w:numPr>
          <w:ilvl w:val="0"/>
          <w:numId w:val="2"/>
        </w:numPr>
        <w:spacing w:line="480" w:lineRule="auto"/>
        <w:jc w:val="both"/>
      </w:pPr>
      <w:r>
        <w:t>Subsidization of resident student tuition; and</w:t>
      </w:r>
    </w:p>
    <w:p w14:paraId="520F3003" w14:textId="08F609DD" w:rsidR="009E6683" w:rsidRDefault="009E6683" w:rsidP="009E6683">
      <w:pPr>
        <w:pStyle w:val="ListParagraph"/>
        <w:numPr>
          <w:ilvl w:val="0"/>
          <w:numId w:val="2"/>
        </w:numPr>
        <w:spacing w:line="480" w:lineRule="auto"/>
        <w:jc w:val="both"/>
      </w:pPr>
      <w:r>
        <w:t>Incentives for the attainment of state policy goals.</w:t>
      </w:r>
    </w:p>
    <w:p w14:paraId="61E505E6" w14:textId="266F0840" w:rsidR="009E6683" w:rsidRDefault="009E6683" w:rsidP="00894982">
      <w:pPr>
        <w:spacing w:line="480" w:lineRule="auto"/>
        <w:ind w:firstLine="720"/>
        <w:jc w:val="both"/>
      </w:pPr>
      <w:r>
        <w:t>All three philosophical purposes ar</w:t>
      </w:r>
      <w:r w:rsidR="00894982">
        <w:t>e stated or reasonably inferred. Often, funding is implied or statutorily required. Yet, the Governor and the Legislature consistently ignore these statutory implications.</w:t>
      </w:r>
    </w:p>
    <w:p w14:paraId="79B9B572" w14:textId="19732C86" w:rsidR="00894982" w:rsidRDefault="00894982" w:rsidP="00894982">
      <w:pPr>
        <w:spacing w:line="480" w:lineRule="auto"/>
        <w:ind w:firstLine="720"/>
        <w:jc w:val="both"/>
      </w:pPr>
      <w:r>
        <w:t>This conundrum stems from the</w:t>
      </w:r>
      <w:r w:rsidR="008E0831">
        <w:t xml:space="preserve"> fact that while </w:t>
      </w:r>
      <w:r>
        <w:t>s</w:t>
      </w:r>
      <w:r w:rsidR="008E0831">
        <w:t xml:space="preserve">tatutory mandates are open-ended, i.e. </w:t>
      </w:r>
      <w:r>
        <w:t xml:space="preserve">the </w:t>
      </w:r>
      <w:r w:rsidR="008E0831">
        <w:t>HEPC shall do this, this and this</w:t>
      </w:r>
      <w:r>
        <w:t xml:space="preserve">, funding is finite </w:t>
      </w:r>
      <w:r w:rsidR="008E0831">
        <w:t>– here’s how much you have to spend.</w:t>
      </w:r>
    </w:p>
    <w:p w14:paraId="727FD65C" w14:textId="1624FA69" w:rsidR="008E0831" w:rsidRDefault="008E0831" w:rsidP="00894982">
      <w:pPr>
        <w:spacing w:line="480" w:lineRule="auto"/>
        <w:ind w:firstLine="720"/>
        <w:jc w:val="both"/>
      </w:pPr>
      <w:r>
        <w:t xml:space="preserve">This paper offers a financing alternative. It starts from the premise that </w:t>
      </w:r>
      <w:r w:rsidR="0016293B">
        <w:t>the West Virginia Code grants the Higher Education Policy Commission the power to create a method for the allocation of state funding to the individual institutions.</w:t>
      </w:r>
      <w:r w:rsidR="0016293B">
        <w:rPr>
          <w:rStyle w:val="FootnoteReference"/>
        </w:rPr>
        <w:footnoteReference w:id="2"/>
      </w:r>
      <w:r w:rsidR="0016293B">
        <w:t xml:space="preserve">  In operation, the Governor and the Legislature has confiscated such authority from the HEPC by setting forth specific state appropriations for each institution in the state’s annual budget. This proposal returns </w:t>
      </w:r>
      <w:r>
        <w:t xml:space="preserve">the authority to </w:t>
      </w:r>
      <w:r w:rsidR="0016293B">
        <w:t xml:space="preserve">the HEPC. </w:t>
      </w:r>
    </w:p>
    <w:p w14:paraId="5940630E" w14:textId="6F8BF43B" w:rsidR="0016293B" w:rsidRDefault="0016293B" w:rsidP="00894982">
      <w:pPr>
        <w:spacing w:line="480" w:lineRule="auto"/>
        <w:ind w:firstLine="720"/>
        <w:jc w:val="both"/>
      </w:pPr>
      <w:r>
        <w:t xml:space="preserve">Second, this paper recognizes the political reality that regardless of high-minded Code provisions, each year, the Legislature is only going to appropriate a certain amount of money for higher education. At a mystical time in the future, there may be an altruistic politician who </w:t>
      </w:r>
      <w:r w:rsidR="007777FA">
        <w:t xml:space="preserve">embraces the public policy goals for higher education set forth in the Code and </w:t>
      </w:r>
      <w:r>
        <w:t xml:space="preserve">succeeds in elevating </w:t>
      </w:r>
      <w:r w:rsidR="007777FA">
        <w:t>its funding</w:t>
      </w:r>
      <w:r>
        <w:t xml:space="preserve"> to a position of greater priority</w:t>
      </w:r>
      <w:r w:rsidR="007777FA">
        <w:t>.</w:t>
      </w:r>
      <w:r>
        <w:t xml:space="preserve"> </w:t>
      </w:r>
      <w:r w:rsidR="007777FA">
        <w:t>However, this paper prefers to create an alternative to waiting for such a time to emerge.</w:t>
      </w:r>
    </w:p>
    <w:p w14:paraId="2D4F84C7" w14:textId="6A812CDF" w:rsidR="008E0831" w:rsidRDefault="008E0831" w:rsidP="00894982">
      <w:pPr>
        <w:spacing w:line="480" w:lineRule="auto"/>
        <w:ind w:firstLine="720"/>
        <w:jc w:val="both"/>
      </w:pPr>
      <w:r>
        <w:t>The paper addresses the three purposes stated above, although the HEPC may wish to narrow this number based upon its determination as to why we subsidize higher education.</w:t>
      </w:r>
      <w:r w:rsidR="007777FA">
        <w:t xml:space="preserve"> It begins by outlining its basis for each of the three areas.</w:t>
      </w:r>
    </w:p>
    <w:p w14:paraId="2227C36F" w14:textId="77777777" w:rsidR="007777FA" w:rsidRDefault="007777FA" w:rsidP="00894982">
      <w:pPr>
        <w:spacing w:line="480" w:lineRule="auto"/>
        <w:ind w:firstLine="720"/>
        <w:jc w:val="both"/>
      </w:pPr>
    </w:p>
    <w:p w14:paraId="19E04598" w14:textId="67256F32" w:rsidR="00894982" w:rsidRPr="009C5A47" w:rsidRDefault="007777FA" w:rsidP="007777FA">
      <w:pPr>
        <w:spacing w:line="480" w:lineRule="auto"/>
        <w:jc w:val="both"/>
        <w:rPr>
          <w:b/>
          <w:sz w:val="28"/>
          <w:szCs w:val="28"/>
        </w:rPr>
      </w:pPr>
      <w:r w:rsidRPr="009C5A47">
        <w:rPr>
          <w:b/>
          <w:sz w:val="28"/>
          <w:szCs w:val="28"/>
        </w:rPr>
        <w:t>GENERAL INSTITUTIONAL SUPPORT</w:t>
      </w:r>
    </w:p>
    <w:p w14:paraId="2579027C" w14:textId="1887EE4E" w:rsidR="00A1111E" w:rsidRDefault="007777FA" w:rsidP="006E5F50">
      <w:pPr>
        <w:spacing w:line="480" w:lineRule="auto"/>
        <w:jc w:val="both"/>
      </w:pPr>
      <w:r>
        <w:tab/>
        <w:t>Prior to statehood, there was little to no support for the development of higher education in the part of the state of Virginia that now comprises West Virginia. Residents on the western side of the mountains viewed higher education as “elitist” and preferred to focus on creating a system of education for all children.</w:t>
      </w:r>
      <w:r>
        <w:rPr>
          <w:rStyle w:val="FootnoteReference"/>
        </w:rPr>
        <w:footnoteReference w:id="3"/>
      </w:r>
      <w:r>
        <w:t xml:space="preserve"> Although some private academies aspired to college status, </w:t>
      </w:r>
      <w:r w:rsidR="00CC6737">
        <w:t>most antebellum colleges in West Virginia were weak and unstable.</w:t>
      </w:r>
      <w:r w:rsidR="00CC6737">
        <w:rPr>
          <w:rStyle w:val="FootnoteReference"/>
        </w:rPr>
        <w:footnoteReference w:id="4"/>
      </w:r>
      <w:r>
        <w:t xml:space="preserve"> </w:t>
      </w:r>
      <w:r w:rsidR="00A1111E">
        <w:tab/>
      </w:r>
    </w:p>
    <w:p w14:paraId="33932EDD" w14:textId="77777777" w:rsidR="00963BC8" w:rsidRDefault="002F2A08" w:rsidP="006E5F50">
      <w:pPr>
        <w:spacing w:line="480" w:lineRule="auto"/>
        <w:jc w:val="both"/>
      </w:pPr>
      <w:r>
        <w:tab/>
      </w:r>
      <w:r w:rsidR="007013CC">
        <w:t>The rapid growth of high schools during the early 20</w:t>
      </w:r>
      <w:r w:rsidR="007013CC" w:rsidRPr="007013CC">
        <w:rPr>
          <w:vertAlign w:val="superscript"/>
        </w:rPr>
        <w:t>th</w:t>
      </w:r>
      <w:r w:rsidR="007013CC">
        <w:t xml:space="preserve"> century inspired state-supported academies to transform into </w:t>
      </w:r>
      <w:r w:rsidR="00963BC8">
        <w:t xml:space="preserve">“normal schools” that offered teacher education. During this time, state support was sporadic, but usually took the form of a state appropriation. </w:t>
      </w:r>
    </w:p>
    <w:p w14:paraId="43C6F994" w14:textId="6B7F98ED" w:rsidR="00963BC8" w:rsidRDefault="00963BC8" w:rsidP="006E5F50">
      <w:pPr>
        <w:spacing w:line="480" w:lineRule="auto"/>
        <w:jc w:val="both"/>
      </w:pPr>
      <w:r>
        <w:tab/>
        <w:t>On occasion, the state Legislature would appropriate an additional amount, usually for a capital improvement. Although under the authority of the State Board of Education until 1969, most campuses operated with relative autonomy often using the political skills of their leadership to secure extra funding.</w:t>
      </w:r>
    </w:p>
    <w:p w14:paraId="075D9F89" w14:textId="191ABE07" w:rsidR="00A1111E" w:rsidRDefault="00963BC8" w:rsidP="00963BC8">
      <w:pPr>
        <w:spacing w:line="480" w:lineRule="auto"/>
        <w:ind w:firstLine="720"/>
        <w:jc w:val="both"/>
      </w:pPr>
      <w:r>
        <w:t xml:space="preserve">There were occasions during the 1870s when the Legislature provided a state appropriation on a per student basis. For the most part, however, the state appropriation was a set amount provided for the general support of the college. This continued through the transformation of normal schools to state colleges to universities. </w:t>
      </w:r>
    </w:p>
    <w:p w14:paraId="1BD8D978" w14:textId="52BBF9EF" w:rsidR="00456C63" w:rsidRDefault="00A1111E" w:rsidP="006E5F50">
      <w:pPr>
        <w:spacing w:line="480" w:lineRule="auto"/>
        <w:jc w:val="both"/>
      </w:pPr>
      <w:r>
        <w:tab/>
        <w:t xml:space="preserve"> </w:t>
      </w:r>
      <w:r w:rsidR="00387B59">
        <w:t>Since 1988, the state’s colleges and universities have been subject to three different governmental structures.</w:t>
      </w:r>
    </w:p>
    <w:p w14:paraId="6EBE4A9C" w14:textId="1D5F19E9" w:rsidR="00387B59" w:rsidRDefault="00387B59" w:rsidP="00387B59">
      <w:pPr>
        <w:spacing w:line="480" w:lineRule="auto"/>
        <w:jc w:val="both"/>
      </w:pPr>
      <w:r>
        <w:tab/>
        <w:t xml:space="preserve">From 1969 to 1989, the state’s governing board consisted of a highly centralized Board of Regents. In 1987, a great deal of dissatisfaction arose among legislators, college and university presidents and members of the Board of Regents over the tradition in West Virginia of providing funding increases for state institutions of higher education based upon an incremental approach. In response, </w:t>
      </w:r>
      <w:r w:rsidR="006E1611">
        <w:t xml:space="preserve">in the spring of 1988, </w:t>
      </w:r>
      <w:r>
        <w:t>the Board of Regents adopted a Resource Allocation Mo</w:t>
      </w:r>
      <w:r w:rsidR="00F952CF">
        <w:t xml:space="preserve">del (RAM). The RAM was </w:t>
      </w:r>
      <w:r w:rsidR="006E1611">
        <w:t>a formula based approach focusing</w:t>
      </w:r>
      <w:r w:rsidR="00F952CF">
        <w:t xml:space="preserve"> on providing an equitable basis of support for the state’s institutions. The model </w:t>
      </w:r>
      <w:r>
        <w:t>was used in a limited manner in the funding of institutions during academic year 1988-1989.</w:t>
      </w:r>
    </w:p>
    <w:p w14:paraId="7375A862" w14:textId="4D093B44" w:rsidR="00F952CF" w:rsidRDefault="00387B59" w:rsidP="00F952CF">
      <w:pPr>
        <w:spacing w:line="480" w:lineRule="auto"/>
        <w:jc w:val="both"/>
      </w:pPr>
      <w:r>
        <w:tab/>
        <w:t xml:space="preserve">In 1989, the state </w:t>
      </w:r>
      <w:r w:rsidR="00F952CF">
        <w:t xml:space="preserve">abolished the Board of Regents and </w:t>
      </w:r>
      <w:r>
        <w:t>created a state university system</w:t>
      </w:r>
      <w:r w:rsidR="00F952CF">
        <w:t>, which included West Virginia University and Marshall University,</w:t>
      </w:r>
      <w:r>
        <w:t xml:space="preserve"> and a state college syste</w:t>
      </w:r>
      <w:r w:rsidR="00F952CF">
        <w:t>m, which included all of the remaining baccalaureate institutions and the two existing community colleges. As part of the restructuring, the Legislature created a task force to review the RAM and recommend modifications. The purpose of the resulting model was to determine the basis for (1) the total amount of resources needed by higher education in West Virginia and (2) the distribution of funds among institutions based upon the median level of funding at peer institutions in the 15 states that belong to the Southern Regional Education Board (SREB).</w:t>
      </w:r>
      <w:r w:rsidR="00CF5FF8">
        <w:t xml:space="preserve"> </w:t>
      </w:r>
    </w:p>
    <w:p w14:paraId="03C9B303" w14:textId="2EAE07F9" w:rsidR="00F952CF" w:rsidRDefault="00F952CF" w:rsidP="00F952CF">
      <w:pPr>
        <w:spacing w:line="480" w:lineRule="auto"/>
        <w:jc w:val="both"/>
      </w:pPr>
      <w:r>
        <w:tab/>
      </w:r>
      <w:r w:rsidR="00CF5FF8">
        <w:t xml:space="preserve">In essence, the model was to provide a method to move the state’s institutions towards equity with their peers. </w:t>
      </w:r>
      <w:r>
        <w:t xml:space="preserve">The components of the RAM included (1) instructional support calculated by using median salaries at peer SREB institutions and (2) total funding per institution determined by extrapolating instructional funding as a percentage of total funding as determined by the average percentage of a group of peer instructions in states contiguous to West Virginia and members in the SREB. </w:t>
      </w:r>
    </w:p>
    <w:p w14:paraId="6BE533DB" w14:textId="6574A6E8" w:rsidR="00F952CF" w:rsidRDefault="00F952CF" w:rsidP="00F952CF">
      <w:pPr>
        <w:spacing w:line="480" w:lineRule="auto"/>
        <w:jc w:val="both"/>
      </w:pPr>
      <w:r>
        <w:tab/>
        <w:t xml:space="preserve">Once the formula determined the amounts needed, the task force believed that the two systems and the institutions could </w:t>
      </w:r>
      <w:r w:rsidR="001A43F5">
        <w:t>work together to</w:t>
      </w:r>
      <w:r>
        <w:t xml:space="preserve"> approach the Legislature for </w:t>
      </w:r>
      <w:r w:rsidR="001A43F5">
        <w:t>additional funding.</w:t>
      </w:r>
      <w:r w:rsidR="00CF5FF8">
        <w:t xml:space="preserve"> </w:t>
      </w:r>
    </w:p>
    <w:p w14:paraId="36AC6C43" w14:textId="7580473A" w:rsidR="00CF5FF8" w:rsidRDefault="009D4D46" w:rsidP="00CF5FF8">
      <w:pPr>
        <w:spacing w:line="480" w:lineRule="auto"/>
        <w:jc w:val="both"/>
      </w:pPr>
      <w:r>
        <w:tab/>
        <w:t>In 2000, the Legislature ended the state university and state college systems and created two new governing boards: the Higher Education Policy Commission</w:t>
      </w:r>
      <w:r w:rsidR="00CF5FF8">
        <w:t xml:space="preserve"> (HEPC)</w:t>
      </w:r>
      <w:r>
        <w:t xml:space="preserve"> for the state’s four-year colleges and universities</w:t>
      </w:r>
      <w:r>
        <w:rPr>
          <w:rStyle w:val="FootnoteReference"/>
        </w:rPr>
        <w:footnoteReference w:id="5"/>
      </w:r>
      <w:r>
        <w:t xml:space="preserve"> and </w:t>
      </w:r>
      <w:r w:rsidR="00CF5FF8">
        <w:t>the Community and Technical College System (CTC). As a part of this restructuring, the Legislature repealed the RAM noting that the funding model had not moved “all institutions equitably towards comparable peer funding levels” and that the formula had left West Virginia institutions “at a competitive disadvantage to their national peers.”</w:t>
      </w:r>
      <w:r w:rsidR="00CF5FF8">
        <w:rPr>
          <w:rStyle w:val="FootnoteReference"/>
        </w:rPr>
        <w:footnoteReference w:id="6"/>
      </w:r>
      <w:r w:rsidR="00CF5FF8">
        <w:t xml:space="preserve"> </w:t>
      </w:r>
    </w:p>
    <w:p w14:paraId="47340F1D" w14:textId="6DF1784D" w:rsidR="00CF5FF8" w:rsidRDefault="007F606B" w:rsidP="00CF5FF8">
      <w:pPr>
        <w:spacing w:line="480" w:lineRule="auto"/>
        <w:jc w:val="both"/>
      </w:pPr>
      <w:r>
        <w:tab/>
        <w:t xml:space="preserve">Despite the Legislature’s representations, there was really nothing wrong with the RAM funding model. Instead, the problem was the Legislature’s failure to provide the additional money needed to fund the formula. </w:t>
      </w:r>
    </w:p>
    <w:p w14:paraId="79F092FF" w14:textId="6B8577C6" w:rsidR="00F930BC" w:rsidRDefault="007F606B" w:rsidP="006E5F50">
      <w:pPr>
        <w:spacing w:line="480" w:lineRule="auto"/>
        <w:jc w:val="both"/>
      </w:pPr>
      <w:r>
        <w:tab/>
        <w:t xml:space="preserve">Under the new model, </w:t>
      </w:r>
      <w:r w:rsidR="006E5F50">
        <w:t>West Virgi</w:t>
      </w:r>
      <w:r w:rsidR="000368C7">
        <w:t xml:space="preserve">nia Code §18B-1B-4(a)(2), </w:t>
      </w:r>
      <w:r w:rsidR="00FA02E8">
        <w:t>directs</w:t>
      </w:r>
      <w:r w:rsidR="006E5F50">
        <w:t xml:space="preserve"> the Higher Education Policy Commission</w:t>
      </w:r>
      <w:r w:rsidR="00646947">
        <w:t xml:space="preserve"> (the “Commission”)</w:t>
      </w:r>
      <w:r w:rsidR="006E5F50">
        <w:t xml:space="preserve"> to:</w:t>
      </w:r>
    </w:p>
    <w:p w14:paraId="1D4435E7" w14:textId="77777777" w:rsidR="006E5F50" w:rsidRDefault="006E5F50" w:rsidP="006E5F50">
      <w:pPr>
        <w:ind w:left="720" w:right="720"/>
        <w:jc w:val="both"/>
      </w:pPr>
      <w:r>
        <w:t xml:space="preserve">(2) Develop, oversee and advance the promulgation of and implementation of a financing rule for state institutions of higher education under its jurisdiction. </w:t>
      </w:r>
    </w:p>
    <w:p w14:paraId="5CD49CBB" w14:textId="77777777" w:rsidR="006E5F50" w:rsidRDefault="006E5F50" w:rsidP="006E5F50">
      <w:pPr>
        <w:ind w:left="720" w:right="720"/>
        <w:jc w:val="both"/>
      </w:pPr>
    </w:p>
    <w:p w14:paraId="638DAC84" w14:textId="77777777" w:rsidR="006E5F50" w:rsidRDefault="006E5F50" w:rsidP="006E5F50">
      <w:pPr>
        <w:jc w:val="both"/>
      </w:pPr>
      <w:r>
        <w:t>The Legislature required the rule to meet the following criteria:</w:t>
      </w:r>
    </w:p>
    <w:p w14:paraId="4D202416" w14:textId="77777777" w:rsidR="006E5F50" w:rsidRDefault="006E5F50" w:rsidP="006E5F50">
      <w:pPr>
        <w:ind w:left="720" w:right="720"/>
        <w:jc w:val="both"/>
      </w:pPr>
    </w:p>
    <w:p w14:paraId="65153B8D" w14:textId="77777777" w:rsidR="006E5F50" w:rsidRDefault="006E5F50" w:rsidP="006E5F50">
      <w:pPr>
        <w:pStyle w:val="ListParagraph"/>
        <w:numPr>
          <w:ilvl w:val="0"/>
          <w:numId w:val="1"/>
        </w:numPr>
        <w:ind w:right="720"/>
        <w:jc w:val="both"/>
      </w:pPr>
      <w:r>
        <w:t>Provide for an adequate level of educational and general funding for institutions pursuant to section five, article one-a of this chapter;</w:t>
      </w:r>
    </w:p>
    <w:p w14:paraId="31F8C4D2" w14:textId="77777777" w:rsidR="00963BC8" w:rsidRDefault="00963BC8" w:rsidP="00963BC8">
      <w:pPr>
        <w:pStyle w:val="ListParagraph"/>
        <w:ind w:left="1140" w:right="720"/>
        <w:jc w:val="both"/>
      </w:pPr>
    </w:p>
    <w:p w14:paraId="7A9A8F13" w14:textId="77777777" w:rsidR="006E5F50" w:rsidRDefault="000368C7" w:rsidP="006E5F50">
      <w:pPr>
        <w:pStyle w:val="ListParagraph"/>
        <w:numPr>
          <w:ilvl w:val="0"/>
          <w:numId w:val="1"/>
        </w:numPr>
        <w:ind w:right="720"/>
        <w:jc w:val="both"/>
      </w:pPr>
      <w:r>
        <w:t>Serve to maintain institutional assets, including, but not limited to, human and physical resources and eliminating deferred maintenance; and</w:t>
      </w:r>
    </w:p>
    <w:p w14:paraId="2FA3818F" w14:textId="77777777" w:rsidR="00963BC8" w:rsidRDefault="00963BC8" w:rsidP="00963BC8">
      <w:pPr>
        <w:ind w:right="720"/>
        <w:jc w:val="both"/>
      </w:pPr>
    </w:p>
    <w:p w14:paraId="166FB99A" w14:textId="77777777" w:rsidR="000368C7" w:rsidRDefault="000368C7" w:rsidP="000355F6">
      <w:pPr>
        <w:pStyle w:val="ListParagraph"/>
        <w:numPr>
          <w:ilvl w:val="0"/>
          <w:numId w:val="1"/>
        </w:numPr>
        <w:ind w:right="720"/>
        <w:jc w:val="both"/>
      </w:pPr>
      <w:r>
        <w:t>Invest and provide incentives for achieving the priority goals in the public policy agenda, including, but not limited to, those found in section one-a, article one and article one-d of this chapter.</w:t>
      </w:r>
    </w:p>
    <w:p w14:paraId="572FF96C" w14:textId="77777777" w:rsidR="000355F6" w:rsidRDefault="000355F6" w:rsidP="000355F6">
      <w:pPr>
        <w:pStyle w:val="ListParagraph"/>
        <w:ind w:left="1140" w:right="720"/>
        <w:jc w:val="both"/>
      </w:pPr>
    </w:p>
    <w:p w14:paraId="66809214" w14:textId="3E4E63E3" w:rsidR="000355F6" w:rsidRDefault="000355F6" w:rsidP="00071B33">
      <w:pPr>
        <w:spacing w:line="480" w:lineRule="auto"/>
        <w:ind w:firstLine="720"/>
        <w:jc w:val="both"/>
      </w:pPr>
      <w:r>
        <w:t xml:space="preserve">In 2011, the Commission responded to this directive by </w:t>
      </w:r>
      <w:r w:rsidR="00071B33">
        <w:t xml:space="preserve">creating and </w:t>
      </w:r>
      <w:r>
        <w:t>presenting</w:t>
      </w:r>
      <w:r w:rsidR="00071B33">
        <w:t xml:space="preserve"> to the Legislature</w:t>
      </w:r>
      <w:r>
        <w:t xml:space="preserve"> a funding model for higher education in West Virginia. </w:t>
      </w:r>
      <w:r w:rsidR="00071B33">
        <w:t>The proposed model was based upon a significant amount of research and thoughtful analysis that aligned state funding with the need to provide a base of support for each institution while providing incentives for those colleges and universities which achieved the major goals set forth in the state’s master plan.</w:t>
      </w:r>
    </w:p>
    <w:p w14:paraId="6D70EE0B" w14:textId="77777777" w:rsidR="00071B33" w:rsidRDefault="00071B33" w:rsidP="00071B33">
      <w:pPr>
        <w:spacing w:line="480" w:lineRule="auto"/>
        <w:ind w:firstLine="720"/>
        <w:jc w:val="both"/>
      </w:pPr>
      <w:r>
        <w:t xml:space="preserve">From the system’s perspective, the proposed model was mindful of the need to avoid adverse financial impacts at the campus level while recognizing peer equity issues and the </w:t>
      </w:r>
      <w:r w:rsidRPr="00071B33">
        <w:t>influence</w:t>
      </w:r>
      <w:r>
        <w:t xml:space="preserve"> of inflation on each institution’s operating budget. </w:t>
      </w:r>
    </w:p>
    <w:p w14:paraId="2069019A" w14:textId="170ACA4D" w:rsidR="00071B33" w:rsidRDefault="00071B33" w:rsidP="00071B33">
      <w:pPr>
        <w:spacing w:line="480" w:lineRule="auto"/>
        <w:ind w:firstLine="720"/>
        <w:jc w:val="both"/>
      </w:pPr>
      <w:r>
        <w:t xml:space="preserve">The development of funding formula reflected nearly two years </w:t>
      </w:r>
      <w:r w:rsidR="005336DB">
        <w:t xml:space="preserve">of </w:t>
      </w:r>
      <w:r>
        <w:t xml:space="preserve">work by </w:t>
      </w:r>
      <w:r w:rsidR="005336DB">
        <w:t xml:space="preserve">the Chancellor and </w:t>
      </w:r>
      <w:r>
        <w:t>institution</w:t>
      </w:r>
      <w:r w:rsidR="005336DB">
        <w:t>al</w:t>
      </w:r>
      <w:r>
        <w:t xml:space="preserve"> leaders as well as the Commission staff. </w:t>
      </w:r>
      <w:r w:rsidR="005336DB">
        <w:t xml:space="preserve"> </w:t>
      </w:r>
      <w:r>
        <w:t xml:space="preserve">Nevertheless, </w:t>
      </w:r>
      <w:r w:rsidR="005336DB">
        <w:t>following its presentation, legislative leaders dismissed the proposed funding model without comment.</w:t>
      </w:r>
    </w:p>
    <w:p w14:paraId="776F301B" w14:textId="796FF83D" w:rsidR="005336DB" w:rsidRDefault="005336DB" w:rsidP="00071B33">
      <w:pPr>
        <w:spacing w:line="480" w:lineRule="auto"/>
        <w:ind w:firstLine="720"/>
        <w:jc w:val="both"/>
      </w:pPr>
      <w:r>
        <w:t xml:space="preserve">Why was the proposed funding model so readily </w:t>
      </w:r>
      <w:r w:rsidR="00646947">
        <w:t>rejected</w:t>
      </w:r>
      <w:r>
        <w:t xml:space="preserve"> by the Legislature? Despite the statutory directive that the Commission </w:t>
      </w:r>
      <w:proofErr w:type="gramStart"/>
      <w:r w:rsidR="006E1611">
        <w:t>determine</w:t>
      </w:r>
      <w:proofErr w:type="gramEnd"/>
      <w:r>
        <w:t xml:space="preserve"> “an adequate level of education and general funding for institutions,” the proposal required $70 million in additional monies </w:t>
      </w:r>
      <w:r w:rsidR="00950840">
        <w:t xml:space="preserve">(a 28% increase) </w:t>
      </w:r>
      <w:r>
        <w:t xml:space="preserve">for the first year of implementation and nearly $100 million </w:t>
      </w:r>
      <w:r w:rsidR="00950840">
        <w:t xml:space="preserve">(a 38% increase) </w:t>
      </w:r>
      <w:r>
        <w:t>for the second year. The driver</w:t>
      </w:r>
      <w:r w:rsidR="00950840">
        <w:t>s</w:t>
      </w:r>
      <w:r>
        <w:t xml:space="preserve"> behind these</w:t>
      </w:r>
      <w:r w:rsidR="00950840">
        <w:t xml:space="preserve"> increases were the funding model’s plan to increase public support for all public institution to 50% of its operating budget and the decision to hold each institution harmless during implementation.</w:t>
      </w:r>
    </w:p>
    <w:p w14:paraId="7F9580BA" w14:textId="0C54D708" w:rsidR="00950840" w:rsidRDefault="002E6DA9" w:rsidP="00071B33">
      <w:pPr>
        <w:spacing w:line="480" w:lineRule="auto"/>
        <w:ind w:firstLine="720"/>
        <w:jc w:val="both"/>
      </w:pPr>
      <w:r>
        <w:t>Consequently</w:t>
      </w:r>
      <w:r w:rsidR="00950840">
        <w:t xml:space="preserve">, the Legislature took one look at the price tag and decided that either it wasn’t in a position to fund such significant increases or it just wasn’t a priority. Peer equity </w:t>
      </w:r>
      <w:r w:rsidR="0070221D">
        <w:t xml:space="preserve">funding </w:t>
      </w:r>
      <w:r w:rsidR="00950840">
        <w:t>had met a similar fate many times in the past.</w:t>
      </w:r>
    </w:p>
    <w:p w14:paraId="1757F129" w14:textId="77777777" w:rsidR="000368C7" w:rsidRDefault="000368C7" w:rsidP="000368C7">
      <w:pPr>
        <w:spacing w:line="480" w:lineRule="auto"/>
        <w:ind w:right="720"/>
        <w:jc w:val="both"/>
      </w:pPr>
    </w:p>
    <w:p w14:paraId="46F0357D" w14:textId="0840D79A" w:rsidR="00963BC8" w:rsidRPr="009C5A47" w:rsidRDefault="00963BC8" w:rsidP="000368C7">
      <w:pPr>
        <w:spacing w:line="480" w:lineRule="auto"/>
        <w:ind w:right="720"/>
        <w:jc w:val="both"/>
        <w:rPr>
          <w:b/>
          <w:sz w:val="28"/>
          <w:szCs w:val="28"/>
        </w:rPr>
      </w:pPr>
      <w:r w:rsidRPr="009C5A47">
        <w:rPr>
          <w:b/>
          <w:sz w:val="28"/>
          <w:szCs w:val="28"/>
        </w:rPr>
        <w:t>SUBSIDIZATION FOR RESIDENT STUDENT TUITION</w:t>
      </w:r>
    </w:p>
    <w:p w14:paraId="23CB7016" w14:textId="52C61D97" w:rsidR="000368C7" w:rsidRDefault="009B099D" w:rsidP="000368C7">
      <w:pPr>
        <w:spacing w:line="480" w:lineRule="auto"/>
        <w:jc w:val="both"/>
      </w:pPr>
      <w:r>
        <w:tab/>
        <w:t xml:space="preserve">Tuition differentials between in-state and out-of-state students are not unusual at public institutions. Historically, they have been used since early in the 1900s. </w:t>
      </w:r>
    </w:p>
    <w:p w14:paraId="78F10E7F" w14:textId="1EC0132A" w:rsidR="009B099D" w:rsidRDefault="009B099D" w:rsidP="000368C7">
      <w:pPr>
        <w:spacing w:line="480" w:lineRule="auto"/>
        <w:jc w:val="both"/>
      </w:pPr>
      <w:r>
        <w:tab/>
        <w:t>At first glance, one may assume that the purpose of these differentials are merely to charge out-of-state students more since in-state students or, more likely, the parents of in-state students pay taxes to state government, which subsidizes the institutions.</w:t>
      </w:r>
    </w:p>
    <w:p w14:paraId="1EF45726" w14:textId="604BA5E3" w:rsidR="009B099D" w:rsidRDefault="009B099D" w:rsidP="000368C7">
      <w:pPr>
        <w:spacing w:line="480" w:lineRule="auto"/>
        <w:jc w:val="both"/>
      </w:pPr>
      <w:r>
        <w:tab/>
      </w:r>
      <w:r w:rsidR="00D14A9B">
        <w:t>In fact, a review of the regulations governing the financing higher education reveals that in-state pricing may be lower than out-of-state pricing due to state subsidization of each student.</w:t>
      </w:r>
    </w:p>
    <w:p w14:paraId="4617200A" w14:textId="4EDF0EC3" w:rsidR="00D14A9B" w:rsidRDefault="00D14A9B" w:rsidP="000368C7">
      <w:pPr>
        <w:spacing w:line="480" w:lineRule="auto"/>
        <w:jc w:val="both"/>
      </w:pPr>
      <w:r>
        <w:tab/>
        <w:t xml:space="preserve">This theory starts with the assumption that a student’s tuition and fees should cover the cost of individual instruction and the cumulative tuition and fees from all students </w:t>
      </w:r>
      <w:r w:rsidR="009C5A47">
        <w:t xml:space="preserve">plus the state appropriation </w:t>
      </w:r>
      <w:r>
        <w:t>should cover the costs of all instruction.</w:t>
      </w:r>
      <w:r>
        <w:rPr>
          <w:rStyle w:val="FootnoteReference"/>
        </w:rPr>
        <w:footnoteReference w:id="7"/>
      </w:r>
      <w:r>
        <w:t xml:space="preserve">  </w:t>
      </w:r>
    </w:p>
    <w:p w14:paraId="52B71EE8" w14:textId="5893563E" w:rsidR="009C5A47" w:rsidRDefault="00D14A9B" w:rsidP="009C5A47">
      <w:pPr>
        <w:spacing w:line="480" w:lineRule="auto"/>
        <w:jc w:val="both"/>
        <w:rPr>
          <w:rFonts w:eastAsia="Times New Roman"/>
        </w:rPr>
      </w:pPr>
      <w:r>
        <w:tab/>
      </w:r>
      <w:r w:rsidRPr="009C5A47">
        <w:t xml:space="preserve">W.Va. Leg. Reg. 133-2-4.3.3.5 </w:t>
      </w:r>
      <w:r w:rsidR="009C5A47" w:rsidRPr="009C5A47">
        <w:t>requires</w:t>
      </w:r>
      <w:r w:rsidRPr="009C5A47">
        <w:t xml:space="preserve"> </w:t>
      </w:r>
      <w:r w:rsidR="009C5A47" w:rsidRPr="009C5A47">
        <w:t>t</w:t>
      </w:r>
      <w:r w:rsidR="009C5A47" w:rsidRPr="009C5A47">
        <w:rPr>
          <w:rFonts w:eastAsia="Times New Roman"/>
        </w:rPr>
        <w:t xml:space="preserve">he Policy Commission </w:t>
      </w:r>
      <w:r w:rsidR="009C5A47">
        <w:rPr>
          <w:rFonts w:eastAsia="Times New Roman"/>
        </w:rPr>
        <w:t>to</w:t>
      </w:r>
      <w:r w:rsidR="009C5A47" w:rsidRPr="009C5A47">
        <w:rPr>
          <w:rFonts w:eastAsia="Times New Roman"/>
        </w:rPr>
        <w:t xml:space="preserve"> </w:t>
      </w:r>
      <w:r w:rsidR="009C5A47">
        <w:rPr>
          <w:rFonts w:eastAsia="Times New Roman"/>
        </w:rPr>
        <w:t>“</w:t>
      </w:r>
      <w:r w:rsidR="009C5A47" w:rsidRPr="009C5A47">
        <w:rPr>
          <w:rFonts w:eastAsia="Times New Roman"/>
        </w:rPr>
        <w:t>set guidelines for out-of-state tuition levels which take into account the cost of instruction and an appropriate relationship between in-state and out</w:t>
      </w:r>
      <w:r w:rsidR="009C5A47">
        <w:rPr>
          <w:rFonts w:eastAsia="Times New Roman"/>
        </w:rPr>
        <w:t>-</w:t>
      </w:r>
      <w:r w:rsidR="009C5A47" w:rsidRPr="009C5A47">
        <w:rPr>
          <w:rFonts w:eastAsia="Times New Roman"/>
        </w:rPr>
        <w:t>of-state tuition levels, with out-of-state tuition and fees covering at least</w:t>
      </w:r>
      <w:r w:rsidR="009C5A47">
        <w:rPr>
          <w:rFonts w:eastAsia="Times New Roman"/>
        </w:rPr>
        <w:t xml:space="preserve"> the full costs of instruction.”</w:t>
      </w:r>
    </w:p>
    <w:p w14:paraId="2760667C" w14:textId="4545A4DD" w:rsidR="009C5A47" w:rsidRPr="009C5A47" w:rsidRDefault="009C5A47" w:rsidP="009C5A47">
      <w:pPr>
        <w:spacing w:line="480" w:lineRule="auto"/>
        <w:jc w:val="both"/>
        <w:rPr>
          <w:rFonts w:eastAsia="Times New Roman"/>
        </w:rPr>
      </w:pPr>
      <w:r>
        <w:rPr>
          <w:rFonts w:eastAsia="Times New Roman"/>
        </w:rPr>
        <w:tab/>
        <w:t>Based upon the reasonable assumption that the cost of instruction is the same for both residents and nonresidents, we may deduce from this provision that while out-of-state tuition covers the cost of instruction for the nonresident, the lower in-state tuition is the result of the state appropriation subsidizing the difference between a resident’s tuition and his or her cost of instruction.</w:t>
      </w:r>
    </w:p>
    <w:p w14:paraId="66AB0D5D" w14:textId="3F0FDCFC" w:rsidR="00D14A9B" w:rsidRDefault="00D14A9B" w:rsidP="009C5A47">
      <w:pPr>
        <w:spacing w:line="480" w:lineRule="auto"/>
        <w:jc w:val="both"/>
      </w:pPr>
    </w:p>
    <w:p w14:paraId="1BD298B7" w14:textId="248AC75E" w:rsidR="009C5A47" w:rsidRPr="009C5A47" w:rsidRDefault="009C5A47" w:rsidP="009C5A47">
      <w:pPr>
        <w:spacing w:line="480" w:lineRule="auto"/>
        <w:jc w:val="both"/>
        <w:rPr>
          <w:b/>
          <w:sz w:val="28"/>
          <w:szCs w:val="28"/>
        </w:rPr>
      </w:pPr>
      <w:r w:rsidRPr="009C5A47">
        <w:rPr>
          <w:b/>
          <w:sz w:val="28"/>
          <w:szCs w:val="28"/>
        </w:rPr>
        <w:t>INCENTIVES FOR THE ATTAINMEN</w:t>
      </w:r>
      <w:r>
        <w:rPr>
          <w:b/>
          <w:sz w:val="28"/>
          <w:szCs w:val="28"/>
        </w:rPr>
        <w:t xml:space="preserve">T OF </w:t>
      </w:r>
      <w:r w:rsidRPr="009C5A47">
        <w:rPr>
          <w:b/>
          <w:sz w:val="28"/>
          <w:szCs w:val="28"/>
        </w:rPr>
        <w:t>POLICY GOALS</w:t>
      </w:r>
    </w:p>
    <w:p w14:paraId="00781AAA" w14:textId="77777777" w:rsidR="002D0E03" w:rsidRDefault="009C5A47" w:rsidP="009C5A47">
      <w:pPr>
        <w:spacing w:line="480" w:lineRule="auto"/>
        <w:jc w:val="both"/>
      </w:pPr>
      <w:r>
        <w:tab/>
      </w:r>
      <w:r w:rsidR="002D0E03">
        <w:t>As previously noted, West Virginia Code §18B-1B-4(a)(2) directs the Commission to:</w:t>
      </w:r>
    </w:p>
    <w:p w14:paraId="1A21478E" w14:textId="77777777" w:rsidR="002D0E03" w:rsidRDefault="002D0E03" w:rsidP="002D0E03">
      <w:pPr>
        <w:pStyle w:val="ListParagraph"/>
        <w:numPr>
          <w:ilvl w:val="0"/>
          <w:numId w:val="5"/>
        </w:numPr>
        <w:ind w:right="720"/>
        <w:jc w:val="both"/>
      </w:pPr>
      <w:r>
        <w:t>Invest and provide incentives for achieving the priority goals in the public policy agenda, including, but not limited to, those found in section one-a, article one and article one-d of this chapter.</w:t>
      </w:r>
    </w:p>
    <w:p w14:paraId="55C163D1" w14:textId="77777777" w:rsidR="002D0E03" w:rsidRDefault="002D0E03" w:rsidP="002D0E03">
      <w:pPr>
        <w:ind w:right="720"/>
        <w:jc w:val="both"/>
      </w:pPr>
    </w:p>
    <w:p w14:paraId="108E4EE6" w14:textId="714B8543" w:rsidR="002D0E03" w:rsidRDefault="00A55268" w:rsidP="002D0E03">
      <w:pPr>
        <w:spacing w:line="480" w:lineRule="auto"/>
        <w:ind w:firstLine="720"/>
        <w:jc w:val="both"/>
      </w:pPr>
      <w:r>
        <w:t xml:space="preserve">As mentioned, in 2011, the Higher Education Policy Commission drafted a funding model based upon over two years of work. </w:t>
      </w:r>
      <w:r w:rsidR="00FF17D8">
        <w:t xml:space="preserve">The proposal encountered the same political challenge that is not uncommon nationwide. </w:t>
      </w:r>
    </w:p>
    <w:p w14:paraId="5CBA473B" w14:textId="1041651B" w:rsidR="00FF17D8" w:rsidRDefault="00FF17D8" w:rsidP="00FF17D8">
      <w:pPr>
        <w:pStyle w:val="ListParagraph"/>
        <w:numPr>
          <w:ilvl w:val="0"/>
          <w:numId w:val="6"/>
        </w:numPr>
        <w:spacing w:line="480" w:lineRule="auto"/>
        <w:ind w:left="1440" w:hanging="720"/>
        <w:jc w:val="both"/>
      </w:pPr>
      <w:r>
        <w:t xml:space="preserve">Legislators enact </w:t>
      </w:r>
      <w:r w:rsidRPr="00FF17D8">
        <w:t>noble</w:t>
      </w:r>
      <w:r>
        <w:t xml:space="preserve"> laws calling for incentives for colleges and universities to meet public policy goals.</w:t>
      </w:r>
    </w:p>
    <w:p w14:paraId="51E3D0E1" w14:textId="2E0A9E78" w:rsidR="00FF17D8" w:rsidRDefault="00FF17D8" w:rsidP="00FF17D8">
      <w:pPr>
        <w:pStyle w:val="ListParagraph"/>
        <w:numPr>
          <w:ilvl w:val="0"/>
          <w:numId w:val="6"/>
        </w:numPr>
        <w:spacing w:line="480" w:lineRule="auto"/>
        <w:ind w:left="1440" w:hanging="720"/>
        <w:jc w:val="both"/>
      </w:pPr>
      <w:r>
        <w:t>Legislators fund colleges and universities at or near the same level as prior years, i.e. no extra money for the incentives.</w:t>
      </w:r>
    </w:p>
    <w:p w14:paraId="7532844E" w14:textId="119834E5" w:rsidR="00FF17D8" w:rsidRDefault="00FF17D8" w:rsidP="00FF17D8">
      <w:pPr>
        <w:pStyle w:val="ListParagraph"/>
        <w:numPr>
          <w:ilvl w:val="0"/>
          <w:numId w:val="6"/>
        </w:numPr>
        <w:spacing w:line="480" w:lineRule="auto"/>
        <w:ind w:left="1440" w:hanging="720"/>
        <w:jc w:val="both"/>
      </w:pPr>
      <w:r>
        <w:t xml:space="preserve">State level coordinating boards are left with the highly undesirable alternative </w:t>
      </w:r>
      <w:r w:rsidR="002C52BD">
        <w:t xml:space="preserve">of reducing money from </w:t>
      </w:r>
      <w:r>
        <w:t>state appropriations</w:t>
      </w:r>
      <w:r w:rsidR="002C52BD">
        <w:t xml:space="preserve"> to fund incentives. </w:t>
      </w:r>
    </w:p>
    <w:p w14:paraId="1731F09D" w14:textId="71E86C15" w:rsidR="002C52BD" w:rsidRDefault="002C52BD" w:rsidP="00FF17D8">
      <w:pPr>
        <w:pStyle w:val="ListParagraph"/>
        <w:numPr>
          <w:ilvl w:val="0"/>
          <w:numId w:val="6"/>
        </w:numPr>
        <w:spacing w:line="480" w:lineRule="auto"/>
        <w:ind w:left="1440" w:hanging="720"/>
        <w:jc w:val="both"/>
      </w:pPr>
      <w:r>
        <w:t>No changes are made.</w:t>
      </w:r>
    </w:p>
    <w:p w14:paraId="4A43FF61" w14:textId="069EDAD7" w:rsidR="00D14962" w:rsidRDefault="002C52BD" w:rsidP="002C52BD">
      <w:pPr>
        <w:spacing w:line="480" w:lineRule="auto"/>
        <w:ind w:firstLine="720"/>
        <w:jc w:val="both"/>
      </w:pPr>
      <w:r>
        <w:t>Taxpayers fund public institutions of higher learning. As such, taxpayers through their elected representatives have a right to require colleges and universities to aspire to a certain set of public policy goals.</w:t>
      </w:r>
    </w:p>
    <w:p w14:paraId="173E15DE" w14:textId="77777777" w:rsidR="002C52BD" w:rsidRDefault="002C52BD" w:rsidP="002C52BD">
      <w:pPr>
        <w:spacing w:line="480" w:lineRule="auto"/>
        <w:ind w:firstLine="720"/>
        <w:jc w:val="both"/>
      </w:pPr>
    </w:p>
    <w:p w14:paraId="2DA913B8" w14:textId="4E2A45D9" w:rsidR="00D14962" w:rsidRPr="00D14962" w:rsidRDefault="00D14962" w:rsidP="002D0E03">
      <w:pPr>
        <w:spacing w:line="480" w:lineRule="auto"/>
        <w:jc w:val="both"/>
        <w:rPr>
          <w:b/>
          <w:sz w:val="28"/>
          <w:szCs w:val="28"/>
        </w:rPr>
      </w:pPr>
      <w:r w:rsidRPr="00D14962">
        <w:rPr>
          <w:b/>
          <w:sz w:val="28"/>
          <w:szCs w:val="28"/>
        </w:rPr>
        <w:t>PROPOSED DISTRIBUTION FORMULA</w:t>
      </w:r>
    </w:p>
    <w:p w14:paraId="7BA372D8" w14:textId="77777777" w:rsidR="00662725" w:rsidRDefault="00662725" w:rsidP="002D0E03">
      <w:pPr>
        <w:spacing w:line="480" w:lineRule="auto"/>
        <w:jc w:val="both"/>
        <w:rPr>
          <w:b/>
          <w:u w:val="single"/>
        </w:rPr>
      </w:pPr>
    </w:p>
    <w:p w14:paraId="5B9AF2A0" w14:textId="10F00F94" w:rsidR="00D90E47" w:rsidRPr="00D90E47" w:rsidRDefault="00D90E47" w:rsidP="002D0E03">
      <w:pPr>
        <w:spacing w:line="480" w:lineRule="auto"/>
        <w:jc w:val="both"/>
        <w:rPr>
          <w:b/>
          <w:u w:val="single"/>
        </w:rPr>
      </w:pPr>
      <w:r w:rsidRPr="00D90E47">
        <w:rPr>
          <w:b/>
          <w:u w:val="single"/>
        </w:rPr>
        <w:t>Funding allocation</w:t>
      </w:r>
    </w:p>
    <w:p w14:paraId="625AC156" w14:textId="7BC3D82C" w:rsidR="00D90E47" w:rsidRDefault="00D90E47" w:rsidP="002D0E03">
      <w:pPr>
        <w:spacing w:line="480" w:lineRule="auto"/>
        <w:jc w:val="both"/>
      </w:pPr>
      <w:r>
        <w:tab/>
        <w:t xml:space="preserve">For purposes of </w:t>
      </w:r>
      <w:r w:rsidR="00B576B8">
        <w:t>demonstration</w:t>
      </w:r>
      <w:r>
        <w:t xml:space="preserve">, this proposal shall </w:t>
      </w:r>
      <w:r w:rsidR="00B576B8">
        <w:t>use the FY 2014 allocations to the state’s two research institutions and the eight regional institutions, which includes WVU-Tech. For FY 2014, the Legislature allocated $278,287,721 for these ten institutions.</w:t>
      </w:r>
    </w:p>
    <w:p w14:paraId="586A8364" w14:textId="64459A05" w:rsidR="00B576B8" w:rsidRDefault="00B576B8" w:rsidP="002D0E03">
      <w:pPr>
        <w:spacing w:line="480" w:lineRule="auto"/>
        <w:jc w:val="both"/>
      </w:pPr>
      <w:r>
        <w:tab/>
        <w:t>This proposal suggests three parts that each represent the three purposes previously set forth: general support, subsidization of in-state students and incentives. Under the proposal, each part shall be allocated one-third of the total state appropriation or approximately $92,762,574. [See attached spreadsheet.]</w:t>
      </w:r>
    </w:p>
    <w:p w14:paraId="0D8D2A7B" w14:textId="77777777" w:rsidR="00662725" w:rsidRPr="00D90E47" w:rsidRDefault="00662725" w:rsidP="002D0E03">
      <w:pPr>
        <w:spacing w:line="480" w:lineRule="auto"/>
        <w:jc w:val="both"/>
      </w:pPr>
    </w:p>
    <w:p w14:paraId="4EB7D895" w14:textId="32D8F584" w:rsidR="00D90E47" w:rsidRPr="00B576B8" w:rsidRDefault="00C36620" w:rsidP="002D0E03">
      <w:pPr>
        <w:spacing w:line="480" w:lineRule="auto"/>
        <w:jc w:val="both"/>
        <w:rPr>
          <w:u w:val="single"/>
        </w:rPr>
      </w:pPr>
      <w:r>
        <w:rPr>
          <w:u w:val="single"/>
        </w:rPr>
        <w:t xml:space="preserve">Part I:  </w:t>
      </w:r>
      <w:r w:rsidR="00B576B8" w:rsidRPr="00B576B8">
        <w:rPr>
          <w:u w:val="single"/>
        </w:rPr>
        <w:t>General support</w:t>
      </w:r>
    </w:p>
    <w:p w14:paraId="1BE2CDA9" w14:textId="77777777" w:rsidR="00662725" w:rsidRDefault="00B576B8" w:rsidP="00662725">
      <w:pPr>
        <w:spacing w:line="480" w:lineRule="auto"/>
        <w:jc w:val="both"/>
      </w:pPr>
      <w:r>
        <w:tab/>
      </w:r>
      <w:r w:rsidR="00662725">
        <w:t>The amount apportioned for general support is allocated based upon the proportional amount of undergraduate student credit hours (SCH) provided by each institution.</w:t>
      </w:r>
    </w:p>
    <w:p w14:paraId="66F89C57" w14:textId="77777777" w:rsidR="00662725" w:rsidRDefault="00662725" w:rsidP="00662725">
      <w:pPr>
        <w:spacing w:line="480" w:lineRule="auto"/>
        <w:jc w:val="both"/>
      </w:pPr>
      <w:r>
        <w:tab/>
        <w:t xml:space="preserve">In essence, the “product” produced and sold by each institution is the credit hour. In terms of general support, other formulae may take into account such variables as physical space maintained by the institution. This proposal believes that subsidizing any input, such as physical space, does nothing but encourage greater expansion of that variable which may or may not produce greater efficiency. </w:t>
      </w:r>
    </w:p>
    <w:p w14:paraId="6A92AE8A" w14:textId="77777777" w:rsidR="00662725" w:rsidRDefault="00662725" w:rsidP="00662725">
      <w:pPr>
        <w:spacing w:line="480" w:lineRule="auto"/>
        <w:ind w:firstLine="720"/>
        <w:jc w:val="both"/>
      </w:pPr>
      <w:r>
        <w:t>Moreover, the proposal does not grant any special recognition of favored disciplines, such as STEM courses, since the purpose of this allocation is to provide “general support.” Thus, all courses are the same.  Special recognition can be provided in the allocation targeted at achieving public policy goals.</w:t>
      </w:r>
    </w:p>
    <w:p w14:paraId="3B020002" w14:textId="56C71CF9" w:rsidR="00662725" w:rsidRDefault="00662725" w:rsidP="00662725">
      <w:pPr>
        <w:spacing w:line="480" w:lineRule="auto"/>
        <w:ind w:firstLine="720"/>
        <w:jc w:val="both"/>
      </w:pPr>
      <w:r>
        <w:t xml:space="preserve">The proposal also limits the allocation to undergraduate hours based upon the assumption that the overall public policy objective of subsidizing higher education is to provide the opportunity for students to receive an undergraduate degree. </w:t>
      </w:r>
    </w:p>
    <w:p w14:paraId="163BD2EB" w14:textId="390BFC82" w:rsidR="00C36620" w:rsidRDefault="00C36620" w:rsidP="002D0E03">
      <w:pPr>
        <w:spacing w:line="480" w:lineRule="auto"/>
        <w:jc w:val="both"/>
      </w:pPr>
      <w:r>
        <w:tab/>
        <w:t xml:space="preserve">The Part I allocation for an institution equals the institution’s percentage of total credit hours statewide multiplied by total Part I support ($92,762,573.67 in FY 2014). </w:t>
      </w:r>
    </w:p>
    <w:p w14:paraId="2FAF6AE7" w14:textId="77777777" w:rsidR="00662725" w:rsidRDefault="00662725" w:rsidP="002D0E03">
      <w:pPr>
        <w:spacing w:line="480" w:lineRule="auto"/>
        <w:jc w:val="both"/>
      </w:pPr>
    </w:p>
    <w:p w14:paraId="67B77EF5" w14:textId="484F935B" w:rsidR="00C36620" w:rsidRPr="00C36620" w:rsidRDefault="00C36620" w:rsidP="002D0E03">
      <w:pPr>
        <w:spacing w:line="480" w:lineRule="auto"/>
        <w:jc w:val="both"/>
        <w:rPr>
          <w:u w:val="single"/>
        </w:rPr>
      </w:pPr>
      <w:r>
        <w:rPr>
          <w:u w:val="single"/>
        </w:rPr>
        <w:t xml:space="preserve">Part II:  </w:t>
      </w:r>
      <w:r w:rsidRPr="00C36620">
        <w:rPr>
          <w:u w:val="single"/>
        </w:rPr>
        <w:t>Subsidization of in-state students</w:t>
      </w:r>
    </w:p>
    <w:p w14:paraId="058E5AF8" w14:textId="14249F0B" w:rsidR="00C36620" w:rsidRDefault="00C36620" w:rsidP="002D0E03">
      <w:pPr>
        <w:spacing w:line="480" w:lineRule="auto"/>
        <w:jc w:val="both"/>
      </w:pPr>
      <w:r>
        <w:tab/>
        <w:t>An institution’</w:t>
      </w:r>
      <w:r w:rsidR="006B377E">
        <w:t xml:space="preserve">s Part II allocation equals its </w:t>
      </w:r>
      <w:r>
        <w:t xml:space="preserve">share of </w:t>
      </w:r>
      <w:r w:rsidR="006B377E">
        <w:t>in-state undergraduate full-time equivalencies (FTEs)</w:t>
      </w:r>
      <w:r>
        <w:t xml:space="preserve"> attending the ten institutions multiplied by the Part II allocation.</w:t>
      </w:r>
      <w:r w:rsidR="006B377E">
        <w:t xml:space="preserve"> Undergraduate FTE is the sum of all hours generated by all students enrolled in classes, divided by 15. Fifteen hours is considered by national standards to be a full-time load for undergraduate students. FTE enrollment is calculated using annualized data. </w:t>
      </w:r>
    </w:p>
    <w:p w14:paraId="5BF622C4" w14:textId="0886F6F8" w:rsidR="006B377E" w:rsidRDefault="006B377E" w:rsidP="002D0E03">
      <w:pPr>
        <w:spacing w:line="480" w:lineRule="auto"/>
        <w:jc w:val="both"/>
      </w:pPr>
      <w:r>
        <w:tab/>
        <w:t>This proposal understands that institutions offering graduate courses and degrees also utilize tuition differentials. However, we return to the premise that public policy is focused on students earning an undergraduate degree and that any additional support for graduate programs may be pursued as a part of a Part III allocation (public policy goals) or through increased tuition and fees. As a result, Part II support only includes in-state undergraduate FTEs.</w:t>
      </w:r>
    </w:p>
    <w:p w14:paraId="77A4EFB7" w14:textId="77777777" w:rsidR="00662725" w:rsidRDefault="00662725" w:rsidP="002D0E03">
      <w:pPr>
        <w:spacing w:line="480" w:lineRule="auto"/>
        <w:jc w:val="both"/>
      </w:pPr>
    </w:p>
    <w:p w14:paraId="064EB280" w14:textId="0F186833" w:rsidR="00C36620" w:rsidRPr="00C36620" w:rsidRDefault="00C36620" w:rsidP="002D0E03">
      <w:pPr>
        <w:spacing w:line="480" w:lineRule="auto"/>
        <w:jc w:val="both"/>
        <w:rPr>
          <w:u w:val="single"/>
        </w:rPr>
      </w:pPr>
      <w:r w:rsidRPr="00C36620">
        <w:rPr>
          <w:u w:val="single"/>
        </w:rPr>
        <w:t>Part III:  Incentivizing public policy goals</w:t>
      </w:r>
    </w:p>
    <w:p w14:paraId="14229E1D" w14:textId="38E74801" w:rsidR="00C36620" w:rsidRDefault="00C36620" w:rsidP="002D0E03">
      <w:pPr>
        <w:spacing w:line="480" w:lineRule="auto"/>
        <w:jc w:val="both"/>
      </w:pPr>
      <w:r>
        <w:tab/>
      </w:r>
      <w:r w:rsidR="00662725">
        <w:t>The Part III allocation moves away from a strict formula to grant the HEPC the discretion to apportion the remaining one-third of the total appropriation.</w:t>
      </w:r>
    </w:p>
    <w:p w14:paraId="140FB033" w14:textId="6F302EE7" w:rsidR="00662725" w:rsidRDefault="00662725" w:rsidP="002D0E03">
      <w:pPr>
        <w:spacing w:line="480" w:lineRule="auto"/>
        <w:jc w:val="both"/>
      </w:pPr>
      <w:r>
        <w:tab/>
        <w:t xml:space="preserve">Each of the ten institutions is unique. Each has its own particular mission that has evolved historically due to its demographics and geography. As such, this proposal personalizes each institution instead of establishing a one-size-fits-all incentive program. </w:t>
      </w:r>
    </w:p>
    <w:p w14:paraId="15C5408F" w14:textId="77777777" w:rsidR="00662725" w:rsidRDefault="00662725" w:rsidP="002D0E03">
      <w:pPr>
        <w:spacing w:line="480" w:lineRule="auto"/>
        <w:jc w:val="both"/>
      </w:pPr>
      <w:r>
        <w:tab/>
        <w:t xml:space="preserve">The vehicle for this approach is the institutional compacts currently in use and currently unattached to any type of financial reward or </w:t>
      </w:r>
      <w:r w:rsidRPr="00662725">
        <w:t>retribution</w:t>
      </w:r>
      <w:r>
        <w:t xml:space="preserve"> that may result from their ability or inability to reach certain agreed upon goals. </w:t>
      </w:r>
    </w:p>
    <w:p w14:paraId="0E3054C1" w14:textId="5ED8D743" w:rsidR="00662725" w:rsidRDefault="00662725" w:rsidP="002D0E03">
      <w:pPr>
        <w:spacing w:line="480" w:lineRule="auto"/>
        <w:jc w:val="both"/>
      </w:pPr>
      <w:r>
        <w:tab/>
        <w:t xml:space="preserve">Under this proposal, the HEPC continues to enter into compacts with each institution, but sets forth the financial consequences of their success or failure. This provides the HEPC with the ability to perform their primary mission of pursuing the state’s public policy goals for higher education.  </w:t>
      </w:r>
    </w:p>
    <w:p w14:paraId="1C45BBC4" w14:textId="0E84B29F" w:rsidR="00271F25" w:rsidRPr="00C36620" w:rsidRDefault="00271F25" w:rsidP="002D0E03">
      <w:pPr>
        <w:spacing w:line="480" w:lineRule="auto"/>
        <w:jc w:val="both"/>
      </w:pPr>
      <w:r>
        <w:tab/>
        <w:t xml:space="preserve">In the initial years of implementation, the HEPC could also use this allocation to ease or hold institutions harmless while they transition into a new system. </w:t>
      </w:r>
    </w:p>
    <w:p w14:paraId="6A768B94" w14:textId="4879B138" w:rsidR="00C36620" w:rsidRDefault="00662725" w:rsidP="002D0E03">
      <w:pPr>
        <w:spacing w:line="480" w:lineRule="auto"/>
        <w:jc w:val="both"/>
        <w:rPr>
          <w:b/>
          <w:u w:val="single"/>
        </w:rPr>
      </w:pPr>
      <w:r>
        <w:rPr>
          <w:b/>
          <w:u w:val="single"/>
        </w:rPr>
        <w:t>Outcome of the proposal</w:t>
      </w:r>
    </w:p>
    <w:p w14:paraId="60D5AADC" w14:textId="70299E14" w:rsidR="00C36620" w:rsidRDefault="00662725" w:rsidP="002D0E03">
      <w:pPr>
        <w:spacing w:line="480" w:lineRule="auto"/>
        <w:jc w:val="both"/>
      </w:pPr>
      <w:r>
        <w:tab/>
        <w:t xml:space="preserve">This proposal includes a spreadsheet </w:t>
      </w:r>
      <w:r w:rsidR="00271F25">
        <w:t>that illustrates the allocation of the state appropriation using the FY 2014 budget allocation.</w:t>
      </w:r>
    </w:p>
    <w:p w14:paraId="671D754B" w14:textId="78304B8C" w:rsidR="00271F25" w:rsidRDefault="00271F25" w:rsidP="002D0E03">
      <w:pPr>
        <w:spacing w:line="480" w:lineRule="auto"/>
        <w:jc w:val="both"/>
      </w:pPr>
      <w:r>
        <w:tab/>
        <w:t>It must be noted that the use of three parts, the allocation to each part based upon 1/3, 1/3 and 1/3 are wholly arbitrary not wishing to make a statement regarding the level of priority the HEPC would give to each area.</w:t>
      </w:r>
    </w:p>
    <w:p w14:paraId="4AA211D8" w14:textId="7BFB2ADF" w:rsidR="00415A91" w:rsidRDefault="00271F25" w:rsidP="002D0E03">
      <w:pPr>
        <w:spacing w:line="480" w:lineRule="auto"/>
        <w:jc w:val="both"/>
      </w:pPr>
      <w:r>
        <w:tab/>
        <w:t xml:space="preserve">Moreover, </w:t>
      </w:r>
      <w:r w:rsidR="00415A91">
        <w:t xml:space="preserve">for the purposes of illustration, </w:t>
      </w:r>
      <w:r>
        <w:t xml:space="preserve">the apportionment of the Part III allocation is </w:t>
      </w:r>
      <w:r w:rsidR="00415A91">
        <w:t>arbitrary since the amounts will be within the discretion of the HEPC based u</w:t>
      </w:r>
      <w:r w:rsidR="00C172C1">
        <w:t>pon each institution’s compact.</w:t>
      </w:r>
    </w:p>
    <w:p w14:paraId="7876ADEC" w14:textId="18D8C58C" w:rsidR="00C172C1" w:rsidRDefault="00C172C1" w:rsidP="002D0E03">
      <w:pPr>
        <w:spacing w:line="480" w:lineRule="auto"/>
        <w:jc w:val="both"/>
      </w:pPr>
      <w:r>
        <w:tab/>
        <w:t xml:space="preserve">This attached spreadsheet reflects two calculations. The percentages for the first spreadsheet are based upon each institution’s share of the total FY 2014 budget. The percentages for the second spreadsheet are based upon using the Part III allocation to make each institution whole for FY 2014. It is interesting to note that under this calculation, four institutions would have their Part I allocation and Part II allocation reduced. This result alone is instructive. </w:t>
      </w:r>
    </w:p>
    <w:p w14:paraId="091AEBBD" w14:textId="68D26DAD" w:rsidR="00C172C1" w:rsidRDefault="00C172C1">
      <w:r>
        <w:br w:type="page"/>
      </w:r>
    </w:p>
    <w:p w14:paraId="6BC672A4" w14:textId="77777777" w:rsidR="00C172C1" w:rsidRDefault="00C172C1" w:rsidP="002D0E03">
      <w:pPr>
        <w:spacing w:line="480" w:lineRule="auto"/>
        <w:jc w:val="both"/>
      </w:pPr>
    </w:p>
    <w:p w14:paraId="00841EE2" w14:textId="77777777" w:rsidR="00C172C1" w:rsidRPr="00C172C1" w:rsidRDefault="00C172C1" w:rsidP="00C172C1">
      <w:pPr>
        <w:spacing w:line="480" w:lineRule="auto"/>
        <w:jc w:val="center"/>
        <w:rPr>
          <w:b/>
          <w:sz w:val="28"/>
          <w:szCs w:val="28"/>
        </w:rPr>
      </w:pPr>
      <w:r w:rsidRPr="00C172C1">
        <w:rPr>
          <w:b/>
          <w:sz w:val="28"/>
          <w:szCs w:val="28"/>
        </w:rPr>
        <w:t>FTE – PART III BASED ON %AGE OF TOTAL BUDGET</w:t>
      </w:r>
    </w:p>
    <w:p w14:paraId="399D4D1E" w14:textId="77777777" w:rsidR="00C172C1" w:rsidRDefault="00C172C1" w:rsidP="00C172C1">
      <w:pPr>
        <w:spacing w:line="480" w:lineRule="auto"/>
        <w:jc w:val="center"/>
      </w:pPr>
    </w:p>
    <w:p w14:paraId="48A04377" w14:textId="77777777" w:rsidR="006B377E" w:rsidRDefault="006B377E"/>
    <w:tbl>
      <w:tblPr>
        <w:tblpPr w:leftFromText="180" w:rightFromText="180" w:vertAnchor="page" w:horzAnchor="page" w:tblpX="595" w:tblpY="2701"/>
        <w:tblW w:w="11034" w:type="dxa"/>
        <w:tblLayout w:type="fixed"/>
        <w:tblCellMar>
          <w:left w:w="54" w:type="dxa"/>
          <w:right w:w="54" w:type="dxa"/>
        </w:tblCellMar>
        <w:tblLook w:val="0000" w:firstRow="0" w:lastRow="0" w:firstColumn="0" w:lastColumn="0" w:noHBand="0" w:noVBand="0"/>
      </w:tblPr>
      <w:tblGrid>
        <w:gridCol w:w="2124"/>
        <w:gridCol w:w="1170"/>
        <w:gridCol w:w="720"/>
        <w:gridCol w:w="720"/>
        <w:gridCol w:w="990"/>
        <w:gridCol w:w="630"/>
        <w:gridCol w:w="720"/>
        <w:gridCol w:w="990"/>
        <w:gridCol w:w="720"/>
        <w:gridCol w:w="990"/>
        <w:gridCol w:w="1260"/>
      </w:tblGrid>
      <w:tr w:rsidR="00C172C1" w:rsidRPr="001D53B6" w14:paraId="4B76DD03" w14:textId="77777777" w:rsidTr="00C172C1">
        <w:trPr>
          <w:trHeight w:val="300"/>
        </w:trPr>
        <w:tc>
          <w:tcPr>
            <w:tcW w:w="2124" w:type="dxa"/>
            <w:tcBorders>
              <w:top w:val="nil"/>
              <w:left w:val="nil"/>
              <w:bottom w:val="nil"/>
              <w:right w:val="nil"/>
            </w:tcBorders>
          </w:tcPr>
          <w:p w14:paraId="5CDFCD8E" w14:textId="77777777" w:rsidR="00C172C1" w:rsidRPr="001D53B6" w:rsidRDefault="00C172C1" w:rsidP="00C172C1">
            <w:pPr>
              <w:widowControl w:val="0"/>
              <w:autoSpaceDE w:val="0"/>
              <w:autoSpaceDN w:val="0"/>
              <w:adjustRightInd w:val="0"/>
              <w:jc w:val="center"/>
              <w:rPr>
                <w:rFonts w:ascii="Calibri" w:hAnsi="Calibri" w:cs="Calibri"/>
                <w:b/>
                <w:bCs/>
                <w:color w:val="000000"/>
                <w:sz w:val="16"/>
                <w:szCs w:val="16"/>
              </w:rPr>
            </w:pPr>
          </w:p>
        </w:tc>
        <w:tc>
          <w:tcPr>
            <w:tcW w:w="1170" w:type="dxa"/>
            <w:tcBorders>
              <w:top w:val="nil"/>
              <w:left w:val="nil"/>
              <w:bottom w:val="nil"/>
              <w:right w:val="nil"/>
            </w:tcBorders>
          </w:tcPr>
          <w:p w14:paraId="10DDB88D" w14:textId="77777777" w:rsidR="00C172C1" w:rsidRPr="001D53B6" w:rsidRDefault="00C172C1" w:rsidP="00C172C1">
            <w:pPr>
              <w:widowControl w:val="0"/>
              <w:autoSpaceDE w:val="0"/>
              <w:autoSpaceDN w:val="0"/>
              <w:adjustRightInd w:val="0"/>
              <w:jc w:val="center"/>
              <w:rPr>
                <w:rFonts w:ascii="Calibri" w:hAnsi="Calibri" w:cs="Calibri"/>
                <w:b/>
                <w:bCs/>
                <w:color w:val="000000"/>
                <w:sz w:val="16"/>
                <w:szCs w:val="16"/>
              </w:rPr>
            </w:pPr>
            <w:r w:rsidRPr="001D53B6">
              <w:rPr>
                <w:rFonts w:ascii="Calibri" w:hAnsi="Calibri" w:cs="Calibri"/>
                <w:b/>
                <w:bCs/>
                <w:color w:val="000000"/>
                <w:sz w:val="16"/>
                <w:szCs w:val="16"/>
              </w:rPr>
              <w:t>FY 2014</w:t>
            </w:r>
          </w:p>
        </w:tc>
        <w:tc>
          <w:tcPr>
            <w:tcW w:w="720" w:type="dxa"/>
            <w:tcBorders>
              <w:top w:val="nil"/>
              <w:left w:val="nil"/>
              <w:bottom w:val="nil"/>
              <w:right w:val="nil"/>
            </w:tcBorders>
          </w:tcPr>
          <w:p w14:paraId="24FDA548" w14:textId="77777777" w:rsidR="00C172C1" w:rsidRPr="001D53B6" w:rsidRDefault="00C172C1" w:rsidP="00C172C1">
            <w:pPr>
              <w:widowControl w:val="0"/>
              <w:autoSpaceDE w:val="0"/>
              <w:autoSpaceDN w:val="0"/>
              <w:adjustRightInd w:val="0"/>
              <w:jc w:val="center"/>
              <w:rPr>
                <w:rFonts w:ascii="Calibri" w:hAnsi="Calibri" w:cs="Calibri"/>
                <w:b/>
                <w:bCs/>
                <w:color w:val="000000"/>
                <w:sz w:val="16"/>
                <w:szCs w:val="16"/>
              </w:rPr>
            </w:pPr>
            <w:r w:rsidRPr="001D53B6">
              <w:rPr>
                <w:rFonts w:ascii="Calibri" w:hAnsi="Calibri" w:cs="Calibri"/>
                <w:b/>
                <w:bCs/>
                <w:color w:val="000000"/>
                <w:sz w:val="16"/>
                <w:szCs w:val="16"/>
              </w:rPr>
              <w:t xml:space="preserve"> SCH </w:t>
            </w:r>
          </w:p>
        </w:tc>
        <w:tc>
          <w:tcPr>
            <w:tcW w:w="720" w:type="dxa"/>
            <w:tcBorders>
              <w:top w:val="nil"/>
              <w:left w:val="nil"/>
              <w:bottom w:val="nil"/>
              <w:right w:val="nil"/>
            </w:tcBorders>
          </w:tcPr>
          <w:p w14:paraId="31BA8D81" w14:textId="77777777" w:rsidR="00C172C1" w:rsidRPr="001D53B6" w:rsidRDefault="00C172C1" w:rsidP="00C172C1">
            <w:pPr>
              <w:widowControl w:val="0"/>
              <w:autoSpaceDE w:val="0"/>
              <w:autoSpaceDN w:val="0"/>
              <w:adjustRightInd w:val="0"/>
              <w:jc w:val="center"/>
              <w:rPr>
                <w:rFonts w:ascii="Calibri" w:hAnsi="Calibri" w:cs="Calibri"/>
                <w:b/>
                <w:bCs/>
                <w:color w:val="000000"/>
                <w:sz w:val="16"/>
                <w:szCs w:val="16"/>
              </w:rPr>
            </w:pPr>
            <w:r w:rsidRPr="001D53B6">
              <w:rPr>
                <w:rFonts w:ascii="Calibri" w:hAnsi="Calibri" w:cs="Calibri"/>
                <w:b/>
                <w:bCs/>
                <w:color w:val="000000"/>
                <w:sz w:val="16"/>
                <w:szCs w:val="16"/>
              </w:rPr>
              <w:t xml:space="preserve">% </w:t>
            </w:r>
            <w:proofErr w:type="gramStart"/>
            <w:r w:rsidRPr="001D53B6">
              <w:rPr>
                <w:rFonts w:ascii="Calibri" w:hAnsi="Calibri" w:cs="Calibri"/>
                <w:b/>
                <w:bCs/>
                <w:color w:val="000000"/>
                <w:sz w:val="16"/>
                <w:szCs w:val="16"/>
              </w:rPr>
              <w:t>of</w:t>
            </w:r>
            <w:proofErr w:type="gramEnd"/>
            <w:r w:rsidRPr="001D53B6">
              <w:rPr>
                <w:rFonts w:ascii="Calibri" w:hAnsi="Calibri" w:cs="Calibri"/>
                <w:b/>
                <w:bCs/>
                <w:color w:val="000000"/>
                <w:sz w:val="16"/>
                <w:szCs w:val="16"/>
              </w:rPr>
              <w:t xml:space="preserve"> total</w:t>
            </w:r>
          </w:p>
        </w:tc>
        <w:tc>
          <w:tcPr>
            <w:tcW w:w="990" w:type="dxa"/>
            <w:tcBorders>
              <w:top w:val="nil"/>
              <w:left w:val="nil"/>
              <w:bottom w:val="nil"/>
              <w:right w:val="nil"/>
            </w:tcBorders>
          </w:tcPr>
          <w:p w14:paraId="5CD3593D" w14:textId="77777777" w:rsidR="00C172C1" w:rsidRPr="001D53B6" w:rsidRDefault="00C172C1" w:rsidP="00C172C1">
            <w:pPr>
              <w:widowControl w:val="0"/>
              <w:autoSpaceDE w:val="0"/>
              <w:autoSpaceDN w:val="0"/>
              <w:adjustRightInd w:val="0"/>
              <w:jc w:val="center"/>
              <w:rPr>
                <w:rFonts w:ascii="Calibri" w:hAnsi="Calibri" w:cs="Calibri"/>
                <w:b/>
                <w:bCs/>
                <w:color w:val="000000"/>
                <w:sz w:val="16"/>
                <w:szCs w:val="16"/>
              </w:rPr>
            </w:pPr>
            <w:r w:rsidRPr="001D53B6">
              <w:rPr>
                <w:rFonts w:ascii="Calibri" w:hAnsi="Calibri" w:cs="Calibri"/>
                <w:b/>
                <w:bCs/>
                <w:color w:val="000000"/>
                <w:sz w:val="16"/>
                <w:szCs w:val="16"/>
              </w:rPr>
              <w:t>Part I allocation</w:t>
            </w:r>
          </w:p>
        </w:tc>
        <w:tc>
          <w:tcPr>
            <w:tcW w:w="630" w:type="dxa"/>
            <w:tcBorders>
              <w:top w:val="nil"/>
              <w:left w:val="nil"/>
              <w:bottom w:val="nil"/>
              <w:right w:val="nil"/>
            </w:tcBorders>
          </w:tcPr>
          <w:p w14:paraId="33136F06" w14:textId="77777777" w:rsidR="00C172C1" w:rsidRPr="001D53B6" w:rsidRDefault="00C172C1" w:rsidP="00C172C1">
            <w:pPr>
              <w:widowControl w:val="0"/>
              <w:autoSpaceDE w:val="0"/>
              <w:autoSpaceDN w:val="0"/>
              <w:adjustRightInd w:val="0"/>
              <w:jc w:val="center"/>
              <w:rPr>
                <w:rFonts w:ascii="Calibri" w:hAnsi="Calibri" w:cs="Calibri"/>
                <w:b/>
                <w:bCs/>
                <w:color w:val="000000"/>
                <w:sz w:val="16"/>
                <w:szCs w:val="16"/>
              </w:rPr>
            </w:pPr>
            <w:r w:rsidRPr="001D53B6">
              <w:rPr>
                <w:rFonts w:ascii="Calibri" w:hAnsi="Calibri" w:cs="Calibri"/>
                <w:b/>
                <w:bCs/>
                <w:color w:val="000000"/>
                <w:sz w:val="16"/>
                <w:szCs w:val="16"/>
              </w:rPr>
              <w:t>In-state FTE</w:t>
            </w:r>
          </w:p>
        </w:tc>
        <w:tc>
          <w:tcPr>
            <w:tcW w:w="720" w:type="dxa"/>
            <w:tcBorders>
              <w:top w:val="nil"/>
              <w:left w:val="nil"/>
              <w:bottom w:val="nil"/>
              <w:right w:val="nil"/>
            </w:tcBorders>
          </w:tcPr>
          <w:p w14:paraId="0B97084F" w14:textId="77777777" w:rsidR="00C172C1" w:rsidRPr="001D53B6" w:rsidRDefault="00C172C1" w:rsidP="00C172C1">
            <w:pPr>
              <w:widowControl w:val="0"/>
              <w:autoSpaceDE w:val="0"/>
              <w:autoSpaceDN w:val="0"/>
              <w:adjustRightInd w:val="0"/>
              <w:jc w:val="center"/>
              <w:rPr>
                <w:rFonts w:ascii="Calibri" w:hAnsi="Calibri" w:cs="Calibri"/>
                <w:b/>
                <w:bCs/>
                <w:color w:val="000000"/>
                <w:sz w:val="16"/>
                <w:szCs w:val="16"/>
              </w:rPr>
            </w:pPr>
            <w:r w:rsidRPr="001D53B6">
              <w:rPr>
                <w:rFonts w:ascii="Calibri" w:hAnsi="Calibri" w:cs="Calibri"/>
                <w:b/>
                <w:bCs/>
                <w:color w:val="000000"/>
                <w:sz w:val="16"/>
                <w:szCs w:val="16"/>
              </w:rPr>
              <w:t xml:space="preserve">% </w:t>
            </w:r>
            <w:proofErr w:type="gramStart"/>
            <w:r w:rsidRPr="001D53B6">
              <w:rPr>
                <w:rFonts w:ascii="Calibri" w:hAnsi="Calibri" w:cs="Calibri"/>
                <w:b/>
                <w:bCs/>
                <w:color w:val="000000"/>
                <w:sz w:val="16"/>
                <w:szCs w:val="16"/>
              </w:rPr>
              <w:t>of</w:t>
            </w:r>
            <w:proofErr w:type="gramEnd"/>
            <w:r w:rsidRPr="001D53B6">
              <w:rPr>
                <w:rFonts w:ascii="Calibri" w:hAnsi="Calibri" w:cs="Calibri"/>
                <w:b/>
                <w:bCs/>
                <w:color w:val="000000"/>
                <w:sz w:val="16"/>
                <w:szCs w:val="16"/>
              </w:rPr>
              <w:t xml:space="preserve"> total</w:t>
            </w:r>
          </w:p>
        </w:tc>
        <w:tc>
          <w:tcPr>
            <w:tcW w:w="990" w:type="dxa"/>
            <w:tcBorders>
              <w:top w:val="nil"/>
              <w:left w:val="nil"/>
              <w:bottom w:val="nil"/>
              <w:right w:val="nil"/>
            </w:tcBorders>
          </w:tcPr>
          <w:p w14:paraId="3C266AFB" w14:textId="77777777" w:rsidR="00C172C1" w:rsidRPr="001D53B6" w:rsidRDefault="00C172C1" w:rsidP="00C172C1">
            <w:pPr>
              <w:widowControl w:val="0"/>
              <w:autoSpaceDE w:val="0"/>
              <w:autoSpaceDN w:val="0"/>
              <w:adjustRightInd w:val="0"/>
              <w:jc w:val="center"/>
              <w:rPr>
                <w:rFonts w:ascii="Calibri" w:hAnsi="Calibri" w:cs="Calibri"/>
                <w:b/>
                <w:bCs/>
                <w:color w:val="000000"/>
                <w:sz w:val="16"/>
                <w:szCs w:val="16"/>
              </w:rPr>
            </w:pPr>
            <w:r w:rsidRPr="001D53B6">
              <w:rPr>
                <w:rFonts w:ascii="Calibri" w:hAnsi="Calibri" w:cs="Calibri"/>
                <w:b/>
                <w:bCs/>
                <w:color w:val="000000"/>
                <w:sz w:val="16"/>
                <w:szCs w:val="16"/>
              </w:rPr>
              <w:t>Part II Allocation</w:t>
            </w:r>
          </w:p>
        </w:tc>
        <w:tc>
          <w:tcPr>
            <w:tcW w:w="720" w:type="dxa"/>
            <w:tcBorders>
              <w:top w:val="nil"/>
              <w:left w:val="nil"/>
              <w:bottom w:val="nil"/>
              <w:right w:val="nil"/>
            </w:tcBorders>
          </w:tcPr>
          <w:p w14:paraId="28E30670" w14:textId="77777777" w:rsidR="00C172C1" w:rsidRPr="001D53B6" w:rsidRDefault="00C172C1" w:rsidP="00C172C1">
            <w:pPr>
              <w:widowControl w:val="0"/>
              <w:autoSpaceDE w:val="0"/>
              <w:autoSpaceDN w:val="0"/>
              <w:adjustRightInd w:val="0"/>
              <w:jc w:val="center"/>
              <w:rPr>
                <w:rFonts w:ascii="Calibri" w:hAnsi="Calibri" w:cs="Calibri"/>
                <w:b/>
                <w:bCs/>
                <w:color w:val="000000"/>
                <w:sz w:val="16"/>
                <w:szCs w:val="16"/>
              </w:rPr>
            </w:pPr>
            <w:r w:rsidRPr="001D53B6">
              <w:rPr>
                <w:rFonts w:ascii="Calibri" w:hAnsi="Calibri" w:cs="Calibri"/>
                <w:b/>
                <w:bCs/>
                <w:color w:val="000000"/>
                <w:sz w:val="16"/>
                <w:szCs w:val="16"/>
              </w:rPr>
              <w:t>Policy %age</w:t>
            </w:r>
          </w:p>
        </w:tc>
        <w:tc>
          <w:tcPr>
            <w:tcW w:w="990" w:type="dxa"/>
            <w:tcBorders>
              <w:top w:val="nil"/>
              <w:left w:val="nil"/>
              <w:bottom w:val="nil"/>
              <w:right w:val="nil"/>
            </w:tcBorders>
          </w:tcPr>
          <w:p w14:paraId="287AB5B4" w14:textId="77777777" w:rsidR="00C172C1" w:rsidRPr="001D53B6" w:rsidRDefault="00C172C1" w:rsidP="00C172C1">
            <w:pPr>
              <w:widowControl w:val="0"/>
              <w:autoSpaceDE w:val="0"/>
              <w:autoSpaceDN w:val="0"/>
              <w:adjustRightInd w:val="0"/>
              <w:jc w:val="center"/>
              <w:rPr>
                <w:rFonts w:ascii="Calibri" w:hAnsi="Calibri" w:cs="Calibri"/>
                <w:b/>
                <w:bCs/>
                <w:color w:val="000000"/>
                <w:sz w:val="16"/>
                <w:szCs w:val="16"/>
              </w:rPr>
            </w:pPr>
            <w:proofErr w:type="spellStart"/>
            <w:r w:rsidRPr="001D53B6">
              <w:rPr>
                <w:rFonts w:ascii="Calibri" w:hAnsi="Calibri" w:cs="Calibri"/>
                <w:b/>
                <w:bCs/>
                <w:color w:val="000000"/>
                <w:sz w:val="16"/>
                <w:szCs w:val="16"/>
              </w:rPr>
              <w:t>Pt</w:t>
            </w:r>
            <w:proofErr w:type="spellEnd"/>
            <w:r w:rsidRPr="001D53B6">
              <w:rPr>
                <w:rFonts w:ascii="Calibri" w:hAnsi="Calibri" w:cs="Calibri"/>
                <w:b/>
                <w:bCs/>
                <w:color w:val="000000"/>
                <w:sz w:val="16"/>
                <w:szCs w:val="16"/>
              </w:rPr>
              <w:t xml:space="preserve"> III </w:t>
            </w:r>
            <w:proofErr w:type="spellStart"/>
            <w:r w:rsidRPr="001D53B6">
              <w:rPr>
                <w:rFonts w:ascii="Calibri" w:hAnsi="Calibri" w:cs="Calibri"/>
                <w:b/>
                <w:bCs/>
                <w:color w:val="000000"/>
                <w:sz w:val="16"/>
                <w:szCs w:val="16"/>
              </w:rPr>
              <w:t>Alloc</w:t>
            </w:r>
            <w:proofErr w:type="spellEnd"/>
          </w:p>
        </w:tc>
        <w:tc>
          <w:tcPr>
            <w:tcW w:w="1260" w:type="dxa"/>
            <w:tcBorders>
              <w:top w:val="nil"/>
              <w:left w:val="nil"/>
              <w:bottom w:val="nil"/>
              <w:right w:val="nil"/>
            </w:tcBorders>
          </w:tcPr>
          <w:p w14:paraId="06998B04" w14:textId="77777777" w:rsidR="00C172C1" w:rsidRPr="001D53B6" w:rsidRDefault="00C172C1" w:rsidP="00C172C1">
            <w:pPr>
              <w:widowControl w:val="0"/>
              <w:autoSpaceDE w:val="0"/>
              <w:autoSpaceDN w:val="0"/>
              <w:adjustRightInd w:val="0"/>
              <w:jc w:val="center"/>
              <w:rPr>
                <w:rFonts w:ascii="Calibri" w:hAnsi="Calibri" w:cs="Calibri"/>
                <w:b/>
                <w:bCs/>
                <w:color w:val="000000"/>
                <w:sz w:val="16"/>
                <w:szCs w:val="16"/>
              </w:rPr>
            </w:pPr>
            <w:r w:rsidRPr="001D53B6">
              <w:rPr>
                <w:rFonts w:ascii="Calibri" w:hAnsi="Calibri" w:cs="Calibri"/>
                <w:b/>
                <w:bCs/>
                <w:color w:val="000000"/>
                <w:sz w:val="16"/>
                <w:szCs w:val="16"/>
              </w:rPr>
              <w:t>Total Appropriations</w:t>
            </w:r>
          </w:p>
        </w:tc>
      </w:tr>
      <w:tr w:rsidR="00C172C1" w:rsidRPr="001D53B6" w14:paraId="68A70355" w14:textId="77777777" w:rsidTr="00C172C1">
        <w:trPr>
          <w:trHeight w:val="300"/>
        </w:trPr>
        <w:tc>
          <w:tcPr>
            <w:tcW w:w="2124" w:type="dxa"/>
            <w:tcBorders>
              <w:top w:val="nil"/>
              <w:left w:val="nil"/>
              <w:bottom w:val="nil"/>
              <w:right w:val="nil"/>
            </w:tcBorders>
          </w:tcPr>
          <w:p w14:paraId="2A099DA6"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West Virginia University</w:t>
            </w:r>
          </w:p>
        </w:tc>
        <w:tc>
          <w:tcPr>
            <w:tcW w:w="1170" w:type="dxa"/>
            <w:tcBorders>
              <w:top w:val="nil"/>
              <w:left w:val="nil"/>
              <w:bottom w:val="nil"/>
              <w:right w:val="nil"/>
            </w:tcBorders>
          </w:tcPr>
          <w:p w14:paraId="4DF1AFD0"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$134,737,474</w:t>
            </w:r>
          </w:p>
        </w:tc>
        <w:tc>
          <w:tcPr>
            <w:tcW w:w="720" w:type="dxa"/>
            <w:tcBorders>
              <w:top w:val="nil"/>
              <w:left w:val="nil"/>
              <w:bottom w:val="nil"/>
              <w:right w:val="nil"/>
            </w:tcBorders>
          </w:tcPr>
          <w:p w14:paraId="4BF2957B"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336,015 </w:t>
            </w:r>
          </w:p>
        </w:tc>
        <w:tc>
          <w:tcPr>
            <w:tcW w:w="720" w:type="dxa"/>
            <w:tcBorders>
              <w:top w:val="nil"/>
              <w:left w:val="nil"/>
              <w:bottom w:val="nil"/>
              <w:right w:val="nil"/>
            </w:tcBorders>
          </w:tcPr>
          <w:p w14:paraId="345D5E22"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0.4527</w:t>
            </w:r>
          </w:p>
        </w:tc>
        <w:tc>
          <w:tcPr>
            <w:tcW w:w="990" w:type="dxa"/>
            <w:tcBorders>
              <w:top w:val="nil"/>
              <w:left w:val="nil"/>
              <w:bottom w:val="nil"/>
              <w:right w:val="nil"/>
            </w:tcBorders>
          </w:tcPr>
          <w:p w14:paraId="7CF11F01"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$41,995,627</w:t>
            </w:r>
          </w:p>
        </w:tc>
        <w:tc>
          <w:tcPr>
            <w:tcW w:w="630" w:type="dxa"/>
            <w:tcBorders>
              <w:top w:val="nil"/>
              <w:left w:val="nil"/>
              <w:bottom w:val="nil"/>
              <w:right w:val="nil"/>
            </w:tcBorders>
          </w:tcPr>
          <w:p w14:paraId="493F75B4"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14,324 </w:t>
            </w:r>
          </w:p>
        </w:tc>
        <w:tc>
          <w:tcPr>
            <w:tcW w:w="720" w:type="dxa"/>
            <w:tcBorders>
              <w:top w:val="nil"/>
              <w:left w:val="nil"/>
              <w:bottom w:val="nil"/>
              <w:right w:val="nil"/>
            </w:tcBorders>
          </w:tcPr>
          <w:p w14:paraId="22935C79"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0.3657</w:t>
            </w:r>
          </w:p>
        </w:tc>
        <w:tc>
          <w:tcPr>
            <w:tcW w:w="990" w:type="dxa"/>
            <w:tcBorders>
              <w:top w:val="nil"/>
              <w:left w:val="nil"/>
              <w:bottom w:val="nil"/>
              <w:right w:val="nil"/>
            </w:tcBorders>
          </w:tcPr>
          <w:p w14:paraId="0A4F5EE2"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$33,918,699</w:t>
            </w:r>
          </w:p>
        </w:tc>
        <w:tc>
          <w:tcPr>
            <w:tcW w:w="720" w:type="dxa"/>
            <w:tcBorders>
              <w:top w:val="nil"/>
              <w:left w:val="nil"/>
              <w:bottom w:val="nil"/>
              <w:right w:val="nil"/>
            </w:tcBorders>
          </w:tcPr>
          <w:p w14:paraId="21F7BE2C"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0.4842</w:t>
            </w:r>
          </w:p>
        </w:tc>
        <w:tc>
          <w:tcPr>
            <w:tcW w:w="990" w:type="dxa"/>
            <w:tcBorders>
              <w:top w:val="nil"/>
              <w:left w:val="nil"/>
              <w:bottom w:val="nil"/>
              <w:right w:val="nil"/>
            </w:tcBorders>
          </w:tcPr>
          <w:p w14:paraId="38476F0F"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$44,912,491</w:t>
            </w:r>
          </w:p>
        </w:tc>
        <w:tc>
          <w:tcPr>
            <w:tcW w:w="1260" w:type="dxa"/>
            <w:tcBorders>
              <w:top w:val="nil"/>
              <w:left w:val="nil"/>
              <w:bottom w:val="nil"/>
              <w:right w:val="nil"/>
            </w:tcBorders>
          </w:tcPr>
          <w:p w14:paraId="277C5A75"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$120,826,817</w:t>
            </w:r>
          </w:p>
        </w:tc>
      </w:tr>
      <w:tr w:rsidR="00C172C1" w:rsidRPr="001D53B6" w14:paraId="011075C2" w14:textId="77777777" w:rsidTr="00C172C1">
        <w:trPr>
          <w:trHeight w:val="300"/>
        </w:trPr>
        <w:tc>
          <w:tcPr>
            <w:tcW w:w="2124" w:type="dxa"/>
            <w:tcBorders>
              <w:top w:val="nil"/>
              <w:left w:val="nil"/>
              <w:bottom w:val="nil"/>
              <w:right w:val="nil"/>
            </w:tcBorders>
          </w:tcPr>
          <w:p w14:paraId="6A37C2FF"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Marshall University</w:t>
            </w:r>
          </w:p>
        </w:tc>
        <w:tc>
          <w:tcPr>
            <w:tcW w:w="1170" w:type="dxa"/>
            <w:tcBorders>
              <w:top w:val="nil"/>
              <w:left w:val="nil"/>
              <w:bottom w:val="nil"/>
              <w:right w:val="nil"/>
            </w:tcBorders>
          </w:tcPr>
          <w:p w14:paraId="784098C9"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$65,751,984</w:t>
            </w:r>
          </w:p>
        </w:tc>
        <w:tc>
          <w:tcPr>
            <w:tcW w:w="720" w:type="dxa"/>
            <w:tcBorders>
              <w:top w:val="nil"/>
              <w:left w:val="nil"/>
              <w:bottom w:val="nil"/>
              <w:right w:val="nil"/>
            </w:tcBorders>
          </w:tcPr>
          <w:p w14:paraId="6132434A"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132,420 </w:t>
            </w:r>
          </w:p>
        </w:tc>
        <w:tc>
          <w:tcPr>
            <w:tcW w:w="720" w:type="dxa"/>
            <w:tcBorders>
              <w:top w:val="nil"/>
              <w:left w:val="nil"/>
              <w:bottom w:val="nil"/>
              <w:right w:val="nil"/>
            </w:tcBorders>
          </w:tcPr>
          <w:p w14:paraId="604C59DA"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0.1784</w:t>
            </w:r>
          </w:p>
        </w:tc>
        <w:tc>
          <w:tcPr>
            <w:tcW w:w="990" w:type="dxa"/>
            <w:tcBorders>
              <w:top w:val="nil"/>
              <w:left w:val="nil"/>
              <w:bottom w:val="nil"/>
              <w:right w:val="nil"/>
            </w:tcBorders>
          </w:tcPr>
          <w:p w14:paraId="6C1FF694"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$16,550,038</w:t>
            </w:r>
          </w:p>
        </w:tc>
        <w:tc>
          <w:tcPr>
            <w:tcW w:w="630" w:type="dxa"/>
            <w:tcBorders>
              <w:top w:val="nil"/>
              <w:left w:val="nil"/>
              <w:bottom w:val="nil"/>
              <w:right w:val="nil"/>
            </w:tcBorders>
          </w:tcPr>
          <w:p w14:paraId="21438BAC"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8,750 </w:t>
            </w:r>
          </w:p>
        </w:tc>
        <w:tc>
          <w:tcPr>
            <w:tcW w:w="720" w:type="dxa"/>
            <w:tcBorders>
              <w:top w:val="nil"/>
              <w:left w:val="nil"/>
              <w:bottom w:val="nil"/>
              <w:right w:val="nil"/>
            </w:tcBorders>
          </w:tcPr>
          <w:p w14:paraId="3751FB5C"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0.2234</w:t>
            </w:r>
          </w:p>
        </w:tc>
        <w:tc>
          <w:tcPr>
            <w:tcW w:w="990" w:type="dxa"/>
            <w:tcBorders>
              <w:top w:val="nil"/>
              <w:left w:val="nil"/>
              <w:bottom w:val="nil"/>
              <w:right w:val="nil"/>
            </w:tcBorders>
          </w:tcPr>
          <w:p w14:paraId="5F24C2E6"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$20,719,674</w:t>
            </w:r>
          </w:p>
        </w:tc>
        <w:tc>
          <w:tcPr>
            <w:tcW w:w="720" w:type="dxa"/>
            <w:tcBorders>
              <w:top w:val="nil"/>
              <w:left w:val="nil"/>
              <w:bottom w:val="nil"/>
              <w:right w:val="nil"/>
            </w:tcBorders>
          </w:tcPr>
          <w:p w14:paraId="2055E087"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0.2363</w:t>
            </w:r>
          </w:p>
        </w:tc>
        <w:tc>
          <w:tcPr>
            <w:tcW w:w="990" w:type="dxa"/>
            <w:tcBorders>
              <w:top w:val="nil"/>
              <w:left w:val="nil"/>
              <w:bottom w:val="nil"/>
              <w:right w:val="nil"/>
            </w:tcBorders>
          </w:tcPr>
          <w:p w14:paraId="19934EE5"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$21,917,328</w:t>
            </w:r>
          </w:p>
        </w:tc>
        <w:tc>
          <w:tcPr>
            <w:tcW w:w="1260" w:type="dxa"/>
            <w:tcBorders>
              <w:top w:val="nil"/>
              <w:left w:val="nil"/>
              <w:bottom w:val="nil"/>
              <w:right w:val="nil"/>
            </w:tcBorders>
          </w:tcPr>
          <w:p w14:paraId="43467557"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$59,187,040</w:t>
            </w:r>
          </w:p>
        </w:tc>
      </w:tr>
      <w:tr w:rsidR="00C172C1" w:rsidRPr="001D53B6" w14:paraId="33DE0C89" w14:textId="77777777" w:rsidTr="00C172C1">
        <w:trPr>
          <w:trHeight w:val="300"/>
        </w:trPr>
        <w:tc>
          <w:tcPr>
            <w:tcW w:w="2124" w:type="dxa"/>
            <w:tcBorders>
              <w:top w:val="nil"/>
              <w:left w:val="nil"/>
              <w:bottom w:val="nil"/>
              <w:right w:val="nil"/>
            </w:tcBorders>
          </w:tcPr>
          <w:p w14:paraId="6F823D36"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Fairmont State University</w:t>
            </w:r>
          </w:p>
        </w:tc>
        <w:tc>
          <w:tcPr>
            <w:tcW w:w="1170" w:type="dxa"/>
            <w:tcBorders>
              <w:top w:val="nil"/>
              <w:left w:val="nil"/>
              <w:bottom w:val="nil"/>
              <w:right w:val="nil"/>
            </w:tcBorders>
          </w:tcPr>
          <w:p w14:paraId="72732120"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$16,281,666</w:t>
            </w:r>
          </w:p>
        </w:tc>
        <w:tc>
          <w:tcPr>
            <w:tcW w:w="720" w:type="dxa"/>
            <w:tcBorders>
              <w:top w:val="nil"/>
              <w:left w:val="nil"/>
              <w:bottom w:val="nil"/>
              <w:right w:val="nil"/>
            </w:tcBorders>
          </w:tcPr>
          <w:p w14:paraId="45CAAC34"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53,925 </w:t>
            </w:r>
          </w:p>
        </w:tc>
        <w:tc>
          <w:tcPr>
            <w:tcW w:w="720" w:type="dxa"/>
            <w:tcBorders>
              <w:top w:val="nil"/>
              <w:left w:val="nil"/>
              <w:bottom w:val="nil"/>
              <w:right w:val="nil"/>
            </w:tcBorders>
          </w:tcPr>
          <w:p w14:paraId="0B3D302B"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0.0727</w:t>
            </w:r>
          </w:p>
        </w:tc>
        <w:tc>
          <w:tcPr>
            <w:tcW w:w="990" w:type="dxa"/>
            <w:tcBorders>
              <w:top w:val="nil"/>
              <w:left w:val="nil"/>
              <w:bottom w:val="nil"/>
              <w:right w:val="nil"/>
            </w:tcBorders>
          </w:tcPr>
          <w:p w14:paraId="456D9CF7"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$6,739,622</w:t>
            </w:r>
          </w:p>
        </w:tc>
        <w:tc>
          <w:tcPr>
            <w:tcW w:w="630" w:type="dxa"/>
            <w:tcBorders>
              <w:top w:val="nil"/>
              <w:left w:val="nil"/>
              <w:bottom w:val="nil"/>
              <w:right w:val="nil"/>
            </w:tcBorders>
          </w:tcPr>
          <w:p w14:paraId="192B842D"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3,394 </w:t>
            </w:r>
          </w:p>
        </w:tc>
        <w:tc>
          <w:tcPr>
            <w:tcW w:w="720" w:type="dxa"/>
            <w:tcBorders>
              <w:top w:val="nil"/>
              <w:left w:val="nil"/>
              <w:bottom w:val="nil"/>
              <w:right w:val="nil"/>
            </w:tcBorders>
          </w:tcPr>
          <w:p w14:paraId="357A8106"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0.0866</w:t>
            </w:r>
          </w:p>
        </w:tc>
        <w:tc>
          <w:tcPr>
            <w:tcW w:w="990" w:type="dxa"/>
            <w:tcBorders>
              <w:top w:val="nil"/>
              <w:left w:val="nil"/>
              <w:bottom w:val="nil"/>
              <w:right w:val="nil"/>
            </w:tcBorders>
          </w:tcPr>
          <w:p w14:paraId="37B49261"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$8,036,866</w:t>
            </w:r>
          </w:p>
        </w:tc>
        <w:tc>
          <w:tcPr>
            <w:tcW w:w="720" w:type="dxa"/>
            <w:tcBorders>
              <w:top w:val="nil"/>
              <w:left w:val="nil"/>
              <w:bottom w:val="nil"/>
              <w:right w:val="nil"/>
            </w:tcBorders>
          </w:tcPr>
          <w:p w14:paraId="25606CDB"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0.0585</w:t>
            </w:r>
          </w:p>
        </w:tc>
        <w:tc>
          <w:tcPr>
            <w:tcW w:w="990" w:type="dxa"/>
            <w:tcBorders>
              <w:top w:val="nil"/>
              <w:left w:val="nil"/>
              <w:bottom w:val="nil"/>
              <w:right w:val="nil"/>
            </w:tcBorders>
          </w:tcPr>
          <w:p w14:paraId="7F3CCA52"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$5,427,222</w:t>
            </w:r>
          </w:p>
        </w:tc>
        <w:tc>
          <w:tcPr>
            <w:tcW w:w="1260" w:type="dxa"/>
            <w:tcBorders>
              <w:top w:val="nil"/>
              <w:left w:val="nil"/>
              <w:bottom w:val="nil"/>
              <w:right w:val="nil"/>
            </w:tcBorders>
          </w:tcPr>
          <w:p w14:paraId="5A2AB7E7"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$20,203,710</w:t>
            </w:r>
          </w:p>
        </w:tc>
      </w:tr>
      <w:tr w:rsidR="00C172C1" w:rsidRPr="001D53B6" w14:paraId="0B7DB2F4" w14:textId="77777777" w:rsidTr="00C172C1">
        <w:trPr>
          <w:trHeight w:val="300"/>
        </w:trPr>
        <w:tc>
          <w:tcPr>
            <w:tcW w:w="2124" w:type="dxa"/>
            <w:tcBorders>
              <w:top w:val="nil"/>
              <w:left w:val="nil"/>
              <w:bottom w:val="nil"/>
              <w:right w:val="nil"/>
            </w:tcBorders>
          </w:tcPr>
          <w:p w14:paraId="6893A1A8"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West Virginia State University</w:t>
            </w:r>
          </w:p>
        </w:tc>
        <w:tc>
          <w:tcPr>
            <w:tcW w:w="1170" w:type="dxa"/>
            <w:tcBorders>
              <w:top w:val="nil"/>
              <w:left w:val="nil"/>
              <w:bottom w:val="nil"/>
              <w:right w:val="nil"/>
            </w:tcBorders>
          </w:tcPr>
          <w:p w14:paraId="02ADAB96"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$12,395,081</w:t>
            </w:r>
          </w:p>
        </w:tc>
        <w:tc>
          <w:tcPr>
            <w:tcW w:w="720" w:type="dxa"/>
            <w:tcBorders>
              <w:top w:val="nil"/>
              <w:left w:val="nil"/>
              <w:bottom w:val="nil"/>
              <w:right w:val="nil"/>
            </w:tcBorders>
          </w:tcPr>
          <w:p w14:paraId="5B9C4F24"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31,755 </w:t>
            </w:r>
          </w:p>
        </w:tc>
        <w:tc>
          <w:tcPr>
            <w:tcW w:w="720" w:type="dxa"/>
            <w:tcBorders>
              <w:top w:val="nil"/>
              <w:left w:val="nil"/>
              <w:bottom w:val="nil"/>
              <w:right w:val="nil"/>
            </w:tcBorders>
          </w:tcPr>
          <w:p w14:paraId="1694F405"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0.0428</w:t>
            </w:r>
          </w:p>
        </w:tc>
        <w:tc>
          <w:tcPr>
            <w:tcW w:w="990" w:type="dxa"/>
            <w:tcBorders>
              <w:top w:val="nil"/>
              <w:left w:val="nil"/>
              <w:bottom w:val="nil"/>
              <w:right w:val="nil"/>
            </w:tcBorders>
          </w:tcPr>
          <w:p w14:paraId="6B62296C"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$3,968,785</w:t>
            </w:r>
          </w:p>
        </w:tc>
        <w:tc>
          <w:tcPr>
            <w:tcW w:w="630" w:type="dxa"/>
            <w:tcBorders>
              <w:top w:val="nil"/>
              <w:left w:val="nil"/>
              <w:bottom w:val="nil"/>
              <w:right w:val="nil"/>
            </w:tcBorders>
          </w:tcPr>
          <w:p w14:paraId="2FDC0A9F"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1,918 </w:t>
            </w:r>
          </w:p>
        </w:tc>
        <w:tc>
          <w:tcPr>
            <w:tcW w:w="720" w:type="dxa"/>
            <w:tcBorders>
              <w:top w:val="nil"/>
              <w:left w:val="nil"/>
              <w:bottom w:val="nil"/>
              <w:right w:val="nil"/>
            </w:tcBorders>
          </w:tcPr>
          <w:p w14:paraId="27904F4E"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0.0490</w:t>
            </w:r>
          </w:p>
        </w:tc>
        <w:tc>
          <w:tcPr>
            <w:tcW w:w="990" w:type="dxa"/>
            <w:tcBorders>
              <w:top w:val="nil"/>
              <w:left w:val="nil"/>
              <w:bottom w:val="nil"/>
              <w:right w:val="nil"/>
            </w:tcBorders>
          </w:tcPr>
          <w:p w14:paraId="663F1922"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$4,541,753</w:t>
            </w:r>
          </w:p>
        </w:tc>
        <w:tc>
          <w:tcPr>
            <w:tcW w:w="720" w:type="dxa"/>
            <w:tcBorders>
              <w:top w:val="nil"/>
              <w:left w:val="nil"/>
              <w:bottom w:val="nil"/>
              <w:right w:val="nil"/>
            </w:tcBorders>
          </w:tcPr>
          <w:p w14:paraId="1DB4173A"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0.0445</w:t>
            </w:r>
          </w:p>
        </w:tc>
        <w:tc>
          <w:tcPr>
            <w:tcW w:w="990" w:type="dxa"/>
            <w:tcBorders>
              <w:top w:val="nil"/>
              <w:left w:val="nil"/>
              <w:bottom w:val="nil"/>
              <w:right w:val="nil"/>
            </w:tcBorders>
          </w:tcPr>
          <w:p w14:paraId="20EBD8CD"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$4,131,694</w:t>
            </w:r>
          </w:p>
        </w:tc>
        <w:tc>
          <w:tcPr>
            <w:tcW w:w="1260" w:type="dxa"/>
            <w:tcBorders>
              <w:top w:val="nil"/>
              <w:left w:val="nil"/>
              <w:bottom w:val="nil"/>
              <w:right w:val="nil"/>
            </w:tcBorders>
          </w:tcPr>
          <w:p w14:paraId="12E8E3F4"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$12,642,231</w:t>
            </w:r>
          </w:p>
        </w:tc>
      </w:tr>
      <w:tr w:rsidR="00C172C1" w:rsidRPr="001D53B6" w14:paraId="3CFE1204" w14:textId="77777777" w:rsidTr="00C172C1">
        <w:trPr>
          <w:trHeight w:val="300"/>
        </w:trPr>
        <w:tc>
          <w:tcPr>
            <w:tcW w:w="2124" w:type="dxa"/>
            <w:tcBorders>
              <w:top w:val="nil"/>
              <w:left w:val="nil"/>
              <w:bottom w:val="nil"/>
              <w:right w:val="nil"/>
            </w:tcBorders>
          </w:tcPr>
          <w:p w14:paraId="7046EDAA"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Shepherd University</w:t>
            </w:r>
          </w:p>
        </w:tc>
        <w:tc>
          <w:tcPr>
            <w:tcW w:w="1170" w:type="dxa"/>
            <w:tcBorders>
              <w:top w:val="nil"/>
              <w:left w:val="nil"/>
              <w:bottom w:val="nil"/>
              <w:right w:val="nil"/>
            </w:tcBorders>
          </w:tcPr>
          <w:p w14:paraId="6C188758"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$10,224,351</w:t>
            </w:r>
          </w:p>
        </w:tc>
        <w:tc>
          <w:tcPr>
            <w:tcW w:w="720" w:type="dxa"/>
            <w:tcBorders>
              <w:top w:val="nil"/>
              <w:left w:val="nil"/>
              <w:bottom w:val="nil"/>
              <w:right w:val="nil"/>
            </w:tcBorders>
          </w:tcPr>
          <w:p w14:paraId="040D2D17"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53,910 </w:t>
            </w:r>
          </w:p>
        </w:tc>
        <w:tc>
          <w:tcPr>
            <w:tcW w:w="720" w:type="dxa"/>
            <w:tcBorders>
              <w:top w:val="nil"/>
              <w:left w:val="nil"/>
              <w:bottom w:val="nil"/>
              <w:right w:val="nil"/>
            </w:tcBorders>
          </w:tcPr>
          <w:p w14:paraId="0887710C"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0.0726</w:t>
            </w:r>
          </w:p>
        </w:tc>
        <w:tc>
          <w:tcPr>
            <w:tcW w:w="990" w:type="dxa"/>
            <w:tcBorders>
              <w:top w:val="nil"/>
              <w:left w:val="nil"/>
              <w:bottom w:val="nil"/>
              <w:right w:val="nil"/>
            </w:tcBorders>
          </w:tcPr>
          <w:p w14:paraId="4F089AD9"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$6,737,748</w:t>
            </w:r>
          </w:p>
        </w:tc>
        <w:tc>
          <w:tcPr>
            <w:tcW w:w="630" w:type="dxa"/>
            <w:tcBorders>
              <w:top w:val="nil"/>
              <w:left w:val="nil"/>
              <w:bottom w:val="nil"/>
              <w:right w:val="nil"/>
            </w:tcBorders>
          </w:tcPr>
          <w:p w14:paraId="1829473C"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3,685 </w:t>
            </w:r>
          </w:p>
        </w:tc>
        <w:tc>
          <w:tcPr>
            <w:tcW w:w="720" w:type="dxa"/>
            <w:tcBorders>
              <w:top w:val="nil"/>
              <w:left w:val="nil"/>
              <w:bottom w:val="nil"/>
              <w:right w:val="nil"/>
            </w:tcBorders>
          </w:tcPr>
          <w:p w14:paraId="029E7875"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0.0941</w:t>
            </w:r>
          </w:p>
        </w:tc>
        <w:tc>
          <w:tcPr>
            <w:tcW w:w="990" w:type="dxa"/>
            <w:tcBorders>
              <w:top w:val="nil"/>
              <w:left w:val="nil"/>
              <w:bottom w:val="nil"/>
              <w:right w:val="nil"/>
            </w:tcBorders>
          </w:tcPr>
          <w:p w14:paraId="147FC1B3"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$8,725,943</w:t>
            </w:r>
          </w:p>
        </w:tc>
        <w:tc>
          <w:tcPr>
            <w:tcW w:w="720" w:type="dxa"/>
            <w:tcBorders>
              <w:top w:val="nil"/>
              <w:left w:val="nil"/>
              <w:bottom w:val="nil"/>
              <w:right w:val="nil"/>
            </w:tcBorders>
          </w:tcPr>
          <w:p w14:paraId="0436B56B"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0.0367</w:t>
            </w:r>
          </w:p>
        </w:tc>
        <w:tc>
          <w:tcPr>
            <w:tcW w:w="990" w:type="dxa"/>
            <w:tcBorders>
              <w:top w:val="nil"/>
              <w:left w:val="nil"/>
              <w:bottom w:val="nil"/>
              <w:right w:val="nil"/>
            </w:tcBorders>
          </w:tcPr>
          <w:p w14:paraId="41DA75A1"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$3,408,117</w:t>
            </w:r>
          </w:p>
        </w:tc>
        <w:tc>
          <w:tcPr>
            <w:tcW w:w="1260" w:type="dxa"/>
            <w:tcBorders>
              <w:top w:val="nil"/>
              <w:left w:val="nil"/>
              <w:bottom w:val="nil"/>
              <w:right w:val="nil"/>
            </w:tcBorders>
          </w:tcPr>
          <w:p w14:paraId="74DF7E52"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$18,871,807</w:t>
            </w:r>
          </w:p>
        </w:tc>
      </w:tr>
      <w:tr w:rsidR="00C172C1" w:rsidRPr="001D53B6" w14:paraId="65295BA5" w14:textId="77777777" w:rsidTr="00C172C1">
        <w:trPr>
          <w:trHeight w:val="300"/>
        </w:trPr>
        <w:tc>
          <w:tcPr>
            <w:tcW w:w="2124" w:type="dxa"/>
            <w:tcBorders>
              <w:top w:val="nil"/>
              <w:left w:val="nil"/>
              <w:bottom w:val="nil"/>
              <w:right w:val="nil"/>
            </w:tcBorders>
          </w:tcPr>
          <w:p w14:paraId="7A05F19A"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Concord University</w:t>
            </w:r>
          </w:p>
        </w:tc>
        <w:tc>
          <w:tcPr>
            <w:tcW w:w="1170" w:type="dxa"/>
            <w:tcBorders>
              <w:top w:val="nil"/>
              <w:left w:val="nil"/>
              <w:bottom w:val="nil"/>
              <w:right w:val="nil"/>
            </w:tcBorders>
          </w:tcPr>
          <w:p w14:paraId="51128C18"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$9,294,046</w:t>
            </w:r>
          </w:p>
        </w:tc>
        <w:tc>
          <w:tcPr>
            <w:tcW w:w="720" w:type="dxa"/>
            <w:tcBorders>
              <w:top w:val="nil"/>
              <w:left w:val="nil"/>
              <w:bottom w:val="nil"/>
              <w:right w:val="nil"/>
            </w:tcBorders>
          </w:tcPr>
          <w:p w14:paraId="4F9544F7"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36,210 </w:t>
            </w:r>
          </w:p>
        </w:tc>
        <w:tc>
          <w:tcPr>
            <w:tcW w:w="720" w:type="dxa"/>
            <w:tcBorders>
              <w:top w:val="nil"/>
              <w:left w:val="nil"/>
              <w:bottom w:val="nil"/>
              <w:right w:val="nil"/>
            </w:tcBorders>
          </w:tcPr>
          <w:p w14:paraId="2C83A62D"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0.0488</w:t>
            </w:r>
          </w:p>
        </w:tc>
        <w:tc>
          <w:tcPr>
            <w:tcW w:w="990" w:type="dxa"/>
            <w:tcBorders>
              <w:top w:val="nil"/>
              <w:left w:val="nil"/>
              <w:bottom w:val="nil"/>
              <w:right w:val="nil"/>
            </w:tcBorders>
          </w:tcPr>
          <w:p w14:paraId="518ADC25"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$4,525,577</w:t>
            </w:r>
          </w:p>
        </w:tc>
        <w:tc>
          <w:tcPr>
            <w:tcW w:w="630" w:type="dxa"/>
            <w:tcBorders>
              <w:top w:val="nil"/>
              <w:left w:val="nil"/>
              <w:bottom w:val="nil"/>
              <w:right w:val="nil"/>
            </w:tcBorders>
          </w:tcPr>
          <w:p w14:paraId="572C6270"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2,128 </w:t>
            </w:r>
          </w:p>
        </w:tc>
        <w:tc>
          <w:tcPr>
            <w:tcW w:w="720" w:type="dxa"/>
            <w:tcBorders>
              <w:top w:val="nil"/>
              <w:left w:val="nil"/>
              <w:bottom w:val="nil"/>
              <w:right w:val="nil"/>
            </w:tcBorders>
          </w:tcPr>
          <w:p w14:paraId="5CC94B36"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0.0543</w:t>
            </w:r>
          </w:p>
        </w:tc>
        <w:tc>
          <w:tcPr>
            <w:tcW w:w="990" w:type="dxa"/>
            <w:tcBorders>
              <w:top w:val="nil"/>
              <w:left w:val="nil"/>
              <w:bottom w:val="nil"/>
              <w:right w:val="nil"/>
            </w:tcBorders>
          </w:tcPr>
          <w:p w14:paraId="31573F5E"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$5,039,025</w:t>
            </w:r>
          </w:p>
        </w:tc>
        <w:tc>
          <w:tcPr>
            <w:tcW w:w="720" w:type="dxa"/>
            <w:tcBorders>
              <w:top w:val="nil"/>
              <w:left w:val="nil"/>
              <w:bottom w:val="nil"/>
              <w:right w:val="nil"/>
            </w:tcBorders>
          </w:tcPr>
          <w:p w14:paraId="7B26D070"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0.0334</w:t>
            </w:r>
          </w:p>
        </w:tc>
        <w:tc>
          <w:tcPr>
            <w:tcW w:w="990" w:type="dxa"/>
            <w:tcBorders>
              <w:top w:val="nil"/>
              <w:left w:val="nil"/>
              <w:bottom w:val="nil"/>
              <w:right w:val="nil"/>
            </w:tcBorders>
          </w:tcPr>
          <w:p w14:paraId="1B1749FB"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$3,098,015</w:t>
            </w:r>
          </w:p>
        </w:tc>
        <w:tc>
          <w:tcPr>
            <w:tcW w:w="1260" w:type="dxa"/>
            <w:tcBorders>
              <w:top w:val="nil"/>
              <w:left w:val="nil"/>
              <w:bottom w:val="nil"/>
              <w:right w:val="nil"/>
            </w:tcBorders>
          </w:tcPr>
          <w:p w14:paraId="677DEE3C"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$12,662,617</w:t>
            </w:r>
          </w:p>
        </w:tc>
      </w:tr>
      <w:tr w:rsidR="00C172C1" w:rsidRPr="001D53B6" w14:paraId="37B58EE1" w14:textId="77777777" w:rsidTr="00C172C1">
        <w:trPr>
          <w:trHeight w:val="300"/>
        </w:trPr>
        <w:tc>
          <w:tcPr>
            <w:tcW w:w="2124" w:type="dxa"/>
            <w:tcBorders>
              <w:top w:val="nil"/>
              <w:left w:val="nil"/>
              <w:bottom w:val="nil"/>
              <w:right w:val="nil"/>
            </w:tcBorders>
          </w:tcPr>
          <w:p w14:paraId="7EADBFB3"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West Liberty University</w:t>
            </w:r>
          </w:p>
        </w:tc>
        <w:tc>
          <w:tcPr>
            <w:tcW w:w="1170" w:type="dxa"/>
            <w:tcBorders>
              <w:top w:val="nil"/>
              <w:left w:val="nil"/>
              <w:bottom w:val="nil"/>
              <w:right w:val="nil"/>
            </w:tcBorders>
          </w:tcPr>
          <w:p w14:paraId="6AA03268"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$8,488,844</w:t>
            </w:r>
          </w:p>
        </w:tc>
        <w:tc>
          <w:tcPr>
            <w:tcW w:w="720" w:type="dxa"/>
            <w:tcBorders>
              <w:top w:val="nil"/>
              <w:left w:val="nil"/>
              <w:bottom w:val="nil"/>
              <w:right w:val="nil"/>
            </w:tcBorders>
          </w:tcPr>
          <w:p w14:paraId="1EBAADB4"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37,770 </w:t>
            </w:r>
          </w:p>
        </w:tc>
        <w:tc>
          <w:tcPr>
            <w:tcW w:w="720" w:type="dxa"/>
            <w:tcBorders>
              <w:top w:val="nil"/>
              <w:left w:val="nil"/>
              <w:bottom w:val="nil"/>
              <w:right w:val="nil"/>
            </w:tcBorders>
          </w:tcPr>
          <w:p w14:paraId="7AA697C5"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0.0509</w:t>
            </w:r>
          </w:p>
        </w:tc>
        <w:tc>
          <w:tcPr>
            <w:tcW w:w="990" w:type="dxa"/>
            <w:tcBorders>
              <w:top w:val="nil"/>
              <w:left w:val="nil"/>
              <w:bottom w:val="nil"/>
              <w:right w:val="nil"/>
            </w:tcBorders>
          </w:tcPr>
          <w:p w14:paraId="64196869"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$4,720,548</w:t>
            </w:r>
          </w:p>
        </w:tc>
        <w:tc>
          <w:tcPr>
            <w:tcW w:w="630" w:type="dxa"/>
            <w:tcBorders>
              <w:top w:val="nil"/>
              <w:left w:val="nil"/>
              <w:bottom w:val="nil"/>
              <w:right w:val="nil"/>
            </w:tcBorders>
          </w:tcPr>
          <w:p w14:paraId="3DC76A1F"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1,786 </w:t>
            </w:r>
          </w:p>
        </w:tc>
        <w:tc>
          <w:tcPr>
            <w:tcW w:w="720" w:type="dxa"/>
            <w:tcBorders>
              <w:top w:val="nil"/>
              <w:left w:val="nil"/>
              <w:bottom w:val="nil"/>
              <w:right w:val="nil"/>
            </w:tcBorders>
          </w:tcPr>
          <w:p w14:paraId="263F0945"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0.0456</w:t>
            </w:r>
          </w:p>
        </w:tc>
        <w:tc>
          <w:tcPr>
            <w:tcW w:w="990" w:type="dxa"/>
            <w:tcBorders>
              <w:top w:val="nil"/>
              <w:left w:val="nil"/>
              <w:bottom w:val="nil"/>
              <w:right w:val="nil"/>
            </w:tcBorders>
          </w:tcPr>
          <w:p w14:paraId="5B536605"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$4,229,182</w:t>
            </w:r>
          </w:p>
        </w:tc>
        <w:tc>
          <w:tcPr>
            <w:tcW w:w="720" w:type="dxa"/>
            <w:tcBorders>
              <w:top w:val="nil"/>
              <w:left w:val="nil"/>
              <w:bottom w:val="nil"/>
              <w:right w:val="nil"/>
            </w:tcBorders>
          </w:tcPr>
          <w:p w14:paraId="297DB25F"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0.0305</w:t>
            </w:r>
          </w:p>
        </w:tc>
        <w:tc>
          <w:tcPr>
            <w:tcW w:w="990" w:type="dxa"/>
            <w:tcBorders>
              <w:top w:val="nil"/>
              <w:left w:val="nil"/>
              <w:bottom w:val="nil"/>
              <w:right w:val="nil"/>
            </w:tcBorders>
          </w:tcPr>
          <w:p w14:paraId="5630B735"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$2,829,615</w:t>
            </w:r>
          </w:p>
        </w:tc>
        <w:tc>
          <w:tcPr>
            <w:tcW w:w="1260" w:type="dxa"/>
            <w:tcBorders>
              <w:top w:val="nil"/>
              <w:left w:val="nil"/>
              <w:bottom w:val="nil"/>
              <w:right w:val="nil"/>
            </w:tcBorders>
          </w:tcPr>
          <w:p w14:paraId="25F15E26"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$11,779,344</w:t>
            </w:r>
          </w:p>
        </w:tc>
      </w:tr>
      <w:tr w:rsidR="00C172C1" w:rsidRPr="001D53B6" w14:paraId="39D9AA79" w14:textId="77777777" w:rsidTr="00C172C1">
        <w:trPr>
          <w:trHeight w:val="300"/>
        </w:trPr>
        <w:tc>
          <w:tcPr>
            <w:tcW w:w="2124" w:type="dxa"/>
            <w:tcBorders>
              <w:top w:val="nil"/>
              <w:left w:val="nil"/>
              <w:bottom w:val="nil"/>
              <w:right w:val="nil"/>
            </w:tcBorders>
          </w:tcPr>
          <w:p w14:paraId="4B37149F"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Glenville State College</w:t>
            </w:r>
          </w:p>
        </w:tc>
        <w:tc>
          <w:tcPr>
            <w:tcW w:w="1170" w:type="dxa"/>
            <w:tcBorders>
              <w:top w:val="nil"/>
              <w:left w:val="nil"/>
              <w:bottom w:val="nil"/>
              <w:right w:val="nil"/>
            </w:tcBorders>
          </w:tcPr>
          <w:p w14:paraId="1B1EEB29"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$6,489,479</w:t>
            </w:r>
          </w:p>
        </w:tc>
        <w:tc>
          <w:tcPr>
            <w:tcW w:w="720" w:type="dxa"/>
            <w:tcBorders>
              <w:top w:val="nil"/>
              <w:left w:val="nil"/>
              <w:bottom w:val="nil"/>
              <w:right w:val="nil"/>
            </w:tcBorders>
          </w:tcPr>
          <w:p w14:paraId="0C303DBE"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20,816 </w:t>
            </w:r>
          </w:p>
        </w:tc>
        <w:tc>
          <w:tcPr>
            <w:tcW w:w="720" w:type="dxa"/>
            <w:tcBorders>
              <w:top w:val="nil"/>
              <w:left w:val="nil"/>
              <w:bottom w:val="nil"/>
              <w:right w:val="nil"/>
            </w:tcBorders>
          </w:tcPr>
          <w:p w14:paraId="31BD5E31"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0.0280</w:t>
            </w:r>
          </w:p>
        </w:tc>
        <w:tc>
          <w:tcPr>
            <w:tcW w:w="990" w:type="dxa"/>
            <w:tcBorders>
              <w:top w:val="nil"/>
              <w:left w:val="nil"/>
              <w:bottom w:val="nil"/>
              <w:right w:val="nil"/>
            </w:tcBorders>
          </w:tcPr>
          <w:p w14:paraId="48D3522B"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$2,601,613</w:t>
            </w:r>
          </w:p>
        </w:tc>
        <w:tc>
          <w:tcPr>
            <w:tcW w:w="630" w:type="dxa"/>
            <w:tcBorders>
              <w:top w:val="nil"/>
              <w:left w:val="nil"/>
              <w:bottom w:val="nil"/>
              <w:right w:val="nil"/>
            </w:tcBorders>
          </w:tcPr>
          <w:p w14:paraId="6E0429B0"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1,036 </w:t>
            </w:r>
          </w:p>
        </w:tc>
        <w:tc>
          <w:tcPr>
            <w:tcW w:w="720" w:type="dxa"/>
            <w:tcBorders>
              <w:top w:val="nil"/>
              <w:left w:val="nil"/>
              <w:bottom w:val="nil"/>
              <w:right w:val="nil"/>
            </w:tcBorders>
          </w:tcPr>
          <w:p w14:paraId="30C03E9F"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0.0264</w:t>
            </w:r>
          </w:p>
        </w:tc>
        <w:tc>
          <w:tcPr>
            <w:tcW w:w="990" w:type="dxa"/>
            <w:tcBorders>
              <w:top w:val="nil"/>
              <w:left w:val="nil"/>
              <w:bottom w:val="nil"/>
              <w:right w:val="nil"/>
            </w:tcBorders>
          </w:tcPr>
          <w:p w14:paraId="5A2F3300"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$2,453,209</w:t>
            </w:r>
          </w:p>
        </w:tc>
        <w:tc>
          <w:tcPr>
            <w:tcW w:w="720" w:type="dxa"/>
            <w:tcBorders>
              <w:top w:val="nil"/>
              <w:left w:val="nil"/>
              <w:bottom w:val="nil"/>
              <w:right w:val="nil"/>
            </w:tcBorders>
          </w:tcPr>
          <w:p w14:paraId="5FC46DA6"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0.0233</w:t>
            </w:r>
          </w:p>
        </w:tc>
        <w:tc>
          <w:tcPr>
            <w:tcW w:w="990" w:type="dxa"/>
            <w:tcBorders>
              <w:top w:val="nil"/>
              <w:left w:val="nil"/>
              <w:bottom w:val="nil"/>
              <w:right w:val="nil"/>
            </w:tcBorders>
          </w:tcPr>
          <w:p w14:paraId="0DAF73AA"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$2,163,160</w:t>
            </w:r>
          </w:p>
        </w:tc>
        <w:tc>
          <w:tcPr>
            <w:tcW w:w="1260" w:type="dxa"/>
            <w:tcBorders>
              <w:top w:val="nil"/>
              <w:left w:val="nil"/>
              <w:bottom w:val="nil"/>
              <w:right w:val="nil"/>
            </w:tcBorders>
          </w:tcPr>
          <w:p w14:paraId="1EF50BFD"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$7,217,982</w:t>
            </w:r>
          </w:p>
        </w:tc>
      </w:tr>
      <w:tr w:rsidR="00C172C1" w:rsidRPr="001D53B6" w14:paraId="66DA0CFE" w14:textId="77777777" w:rsidTr="00C172C1">
        <w:trPr>
          <w:trHeight w:val="300"/>
        </w:trPr>
        <w:tc>
          <w:tcPr>
            <w:tcW w:w="2124" w:type="dxa"/>
            <w:tcBorders>
              <w:top w:val="nil"/>
              <w:left w:val="nil"/>
              <w:bottom w:val="nil"/>
              <w:right w:val="nil"/>
            </w:tcBorders>
          </w:tcPr>
          <w:p w14:paraId="6E6DBB52"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Bluefield State College</w:t>
            </w:r>
          </w:p>
        </w:tc>
        <w:tc>
          <w:tcPr>
            <w:tcW w:w="1170" w:type="dxa"/>
            <w:tcBorders>
              <w:top w:val="nil"/>
              <w:left w:val="nil"/>
              <w:bottom w:val="nil"/>
              <w:right w:val="nil"/>
            </w:tcBorders>
          </w:tcPr>
          <w:p w14:paraId="02B8310E"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$6,003,814</w:t>
            </w:r>
          </w:p>
        </w:tc>
        <w:tc>
          <w:tcPr>
            <w:tcW w:w="720" w:type="dxa"/>
            <w:tcBorders>
              <w:top w:val="nil"/>
              <w:left w:val="nil"/>
              <w:bottom w:val="nil"/>
              <w:right w:val="nil"/>
            </w:tcBorders>
          </w:tcPr>
          <w:p w14:paraId="6F3E87BA"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23,520 </w:t>
            </w:r>
          </w:p>
        </w:tc>
        <w:tc>
          <w:tcPr>
            <w:tcW w:w="720" w:type="dxa"/>
            <w:tcBorders>
              <w:top w:val="nil"/>
              <w:left w:val="nil"/>
              <w:bottom w:val="nil"/>
              <w:right w:val="nil"/>
            </w:tcBorders>
          </w:tcPr>
          <w:p w14:paraId="4CE9D9C4"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0.0317</w:t>
            </w:r>
          </w:p>
        </w:tc>
        <w:tc>
          <w:tcPr>
            <w:tcW w:w="990" w:type="dxa"/>
            <w:tcBorders>
              <w:top w:val="nil"/>
              <w:left w:val="nil"/>
              <w:bottom w:val="nil"/>
              <w:right w:val="nil"/>
            </w:tcBorders>
          </w:tcPr>
          <w:p w14:paraId="42541409"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$2,939,563</w:t>
            </w:r>
          </w:p>
        </w:tc>
        <w:tc>
          <w:tcPr>
            <w:tcW w:w="630" w:type="dxa"/>
            <w:tcBorders>
              <w:top w:val="nil"/>
              <w:left w:val="nil"/>
              <w:bottom w:val="nil"/>
              <w:right w:val="nil"/>
            </w:tcBorders>
          </w:tcPr>
          <w:p w14:paraId="2E918353"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1,350 </w:t>
            </w:r>
          </w:p>
        </w:tc>
        <w:tc>
          <w:tcPr>
            <w:tcW w:w="720" w:type="dxa"/>
            <w:tcBorders>
              <w:top w:val="nil"/>
              <w:left w:val="nil"/>
              <w:bottom w:val="nil"/>
              <w:right w:val="nil"/>
            </w:tcBorders>
          </w:tcPr>
          <w:p w14:paraId="1F67C9C4"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0.0345</w:t>
            </w:r>
          </w:p>
        </w:tc>
        <w:tc>
          <w:tcPr>
            <w:tcW w:w="990" w:type="dxa"/>
            <w:tcBorders>
              <w:top w:val="nil"/>
              <w:left w:val="nil"/>
              <w:bottom w:val="nil"/>
              <w:right w:val="nil"/>
            </w:tcBorders>
          </w:tcPr>
          <w:p w14:paraId="6BB42A09"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$3,196,750</w:t>
            </w:r>
          </w:p>
        </w:tc>
        <w:tc>
          <w:tcPr>
            <w:tcW w:w="720" w:type="dxa"/>
            <w:tcBorders>
              <w:top w:val="nil"/>
              <w:left w:val="nil"/>
              <w:bottom w:val="nil"/>
              <w:right w:val="nil"/>
            </w:tcBorders>
          </w:tcPr>
          <w:p w14:paraId="79BD8032"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0.0216</w:t>
            </w:r>
          </w:p>
        </w:tc>
        <w:tc>
          <w:tcPr>
            <w:tcW w:w="990" w:type="dxa"/>
            <w:tcBorders>
              <w:top w:val="nil"/>
              <w:left w:val="nil"/>
              <w:bottom w:val="nil"/>
              <w:right w:val="nil"/>
            </w:tcBorders>
          </w:tcPr>
          <w:p w14:paraId="75EBF1C7"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$2,001,271</w:t>
            </w:r>
          </w:p>
        </w:tc>
        <w:tc>
          <w:tcPr>
            <w:tcW w:w="1260" w:type="dxa"/>
            <w:tcBorders>
              <w:top w:val="nil"/>
              <w:left w:val="nil"/>
              <w:bottom w:val="nil"/>
              <w:right w:val="nil"/>
            </w:tcBorders>
          </w:tcPr>
          <w:p w14:paraId="77A7439E"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$8,137,584</w:t>
            </w:r>
          </w:p>
        </w:tc>
      </w:tr>
      <w:tr w:rsidR="00C172C1" w:rsidRPr="001D53B6" w14:paraId="0170E61F" w14:textId="77777777" w:rsidTr="00C172C1">
        <w:trPr>
          <w:trHeight w:val="300"/>
        </w:trPr>
        <w:tc>
          <w:tcPr>
            <w:tcW w:w="2124" w:type="dxa"/>
            <w:tcBorders>
              <w:top w:val="nil"/>
              <w:left w:val="nil"/>
              <w:bottom w:val="nil"/>
              <w:right w:val="nil"/>
            </w:tcBorders>
          </w:tcPr>
          <w:p w14:paraId="56314B35"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WVU-Tech</w:t>
            </w:r>
          </w:p>
        </w:tc>
        <w:tc>
          <w:tcPr>
            <w:tcW w:w="1170" w:type="dxa"/>
            <w:tcBorders>
              <w:top w:val="nil"/>
              <w:left w:val="nil"/>
              <w:bottom w:val="nil"/>
              <w:right w:val="nil"/>
            </w:tcBorders>
          </w:tcPr>
          <w:p w14:paraId="3C1F0F6A"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$8,620,982</w:t>
            </w:r>
          </w:p>
        </w:tc>
        <w:tc>
          <w:tcPr>
            <w:tcW w:w="720" w:type="dxa"/>
            <w:tcBorders>
              <w:top w:val="nil"/>
              <w:left w:val="nil"/>
              <w:bottom w:val="nil"/>
              <w:right w:val="nil"/>
            </w:tcBorders>
          </w:tcPr>
          <w:p w14:paraId="0E9F2336"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15,870 </w:t>
            </w:r>
          </w:p>
        </w:tc>
        <w:tc>
          <w:tcPr>
            <w:tcW w:w="720" w:type="dxa"/>
            <w:tcBorders>
              <w:top w:val="nil"/>
              <w:left w:val="nil"/>
              <w:bottom w:val="nil"/>
              <w:right w:val="nil"/>
            </w:tcBorders>
          </w:tcPr>
          <w:p w14:paraId="0A168FF5"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0.0214</w:t>
            </w:r>
          </w:p>
        </w:tc>
        <w:tc>
          <w:tcPr>
            <w:tcW w:w="990" w:type="dxa"/>
            <w:tcBorders>
              <w:top w:val="nil"/>
              <w:left w:val="nil"/>
              <w:bottom w:val="nil"/>
              <w:right w:val="nil"/>
            </w:tcBorders>
          </w:tcPr>
          <w:p w14:paraId="1E9D6C78"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$1,983,455</w:t>
            </w:r>
          </w:p>
        </w:tc>
        <w:tc>
          <w:tcPr>
            <w:tcW w:w="630" w:type="dxa"/>
            <w:tcBorders>
              <w:top w:val="nil"/>
              <w:left w:val="nil"/>
              <w:bottom w:val="nil"/>
              <w:right w:val="nil"/>
            </w:tcBorders>
          </w:tcPr>
          <w:p w14:paraId="1856EF7E"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803 </w:t>
            </w:r>
          </w:p>
        </w:tc>
        <w:tc>
          <w:tcPr>
            <w:tcW w:w="720" w:type="dxa"/>
            <w:tcBorders>
              <w:top w:val="nil"/>
              <w:left w:val="nil"/>
              <w:bottom w:val="nil"/>
              <w:right w:val="nil"/>
            </w:tcBorders>
          </w:tcPr>
          <w:p w14:paraId="5A2E7B94"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0.0205</w:t>
            </w:r>
          </w:p>
        </w:tc>
        <w:tc>
          <w:tcPr>
            <w:tcW w:w="990" w:type="dxa"/>
            <w:tcBorders>
              <w:top w:val="nil"/>
              <w:left w:val="nil"/>
              <w:bottom w:val="nil"/>
              <w:right w:val="nil"/>
            </w:tcBorders>
          </w:tcPr>
          <w:p w14:paraId="4447CF8E"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$1,901,474</w:t>
            </w:r>
          </w:p>
        </w:tc>
        <w:tc>
          <w:tcPr>
            <w:tcW w:w="720" w:type="dxa"/>
            <w:tcBorders>
              <w:top w:val="nil"/>
              <w:left w:val="nil"/>
              <w:bottom w:val="nil"/>
              <w:right w:val="nil"/>
            </w:tcBorders>
          </w:tcPr>
          <w:p w14:paraId="11F25EEB"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0.0310</w:t>
            </w:r>
          </w:p>
        </w:tc>
        <w:tc>
          <w:tcPr>
            <w:tcW w:w="990" w:type="dxa"/>
            <w:tcBorders>
              <w:top w:val="nil"/>
              <w:left w:val="nil"/>
              <w:bottom w:val="nil"/>
              <w:right w:val="nil"/>
            </w:tcBorders>
          </w:tcPr>
          <w:p w14:paraId="1A30192B"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$2,873,661</w:t>
            </w:r>
          </w:p>
        </w:tc>
        <w:tc>
          <w:tcPr>
            <w:tcW w:w="1260" w:type="dxa"/>
            <w:tcBorders>
              <w:top w:val="nil"/>
              <w:left w:val="nil"/>
              <w:bottom w:val="nil"/>
              <w:right w:val="nil"/>
            </w:tcBorders>
          </w:tcPr>
          <w:p w14:paraId="42423826"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$6,758,590</w:t>
            </w:r>
          </w:p>
        </w:tc>
      </w:tr>
      <w:tr w:rsidR="00C172C1" w:rsidRPr="001D53B6" w14:paraId="54A647C7" w14:textId="77777777" w:rsidTr="00C172C1">
        <w:trPr>
          <w:trHeight w:val="300"/>
        </w:trPr>
        <w:tc>
          <w:tcPr>
            <w:tcW w:w="2124" w:type="dxa"/>
            <w:tcBorders>
              <w:top w:val="nil"/>
              <w:left w:val="nil"/>
              <w:bottom w:val="nil"/>
              <w:right w:val="nil"/>
            </w:tcBorders>
          </w:tcPr>
          <w:p w14:paraId="6338DE58"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1170" w:type="dxa"/>
            <w:tcBorders>
              <w:top w:val="nil"/>
              <w:left w:val="nil"/>
              <w:bottom w:val="nil"/>
              <w:right w:val="nil"/>
            </w:tcBorders>
          </w:tcPr>
          <w:p w14:paraId="17B6C0D2"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590FF7FA"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54A91ACB"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7675C9F1"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1FD1077B"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3118C6F0"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1E94A315"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47411174"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26476B28"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1260" w:type="dxa"/>
            <w:tcBorders>
              <w:top w:val="nil"/>
              <w:left w:val="nil"/>
              <w:bottom w:val="nil"/>
              <w:right w:val="nil"/>
            </w:tcBorders>
          </w:tcPr>
          <w:p w14:paraId="1CE6931C"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r>
      <w:tr w:rsidR="00C172C1" w:rsidRPr="001D53B6" w14:paraId="630BE7CD" w14:textId="77777777" w:rsidTr="00C172C1">
        <w:trPr>
          <w:trHeight w:val="300"/>
        </w:trPr>
        <w:tc>
          <w:tcPr>
            <w:tcW w:w="2124" w:type="dxa"/>
            <w:tcBorders>
              <w:top w:val="nil"/>
              <w:left w:val="nil"/>
              <w:bottom w:val="nil"/>
              <w:right w:val="nil"/>
            </w:tcBorders>
          </w:tcPr>
          <w:p w14:paraId="0A1C7663"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TOTAL</w:t>
            </w:r>
          </w:p>
        </w:tc>
        <w:tc>
          <w:tcPr>
            <w:tcW w:w="1170" w:type="dxa"/>
            <w:tcBorders>
              <w:top w:val="nil"/>
              <w:left w:val="nil"/>
              <w:bottom w:val="nil"/>
              <w:right w:val="nil"/>
            </w:tcBorders>
          </w:tcPr>
          <w:p w14:paraId="00F66652"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$278,287,721</w:t>
            </w:r>
          </w:p>
        </w:tc>
        <w:tc>
          <w:tcPr>
            <w:tcW w:w="720" w:type="dxa"/>
            <w:tcBorders>
              <w:top w:val="nil"/>
              <w:left w:val="nil"/>
              <w:bottom w:val="nil"/>
              <w:right w:val="nil"/>
            </w:tcBorders>
          </w:tcPr>
          <w:p w14:paraId="07C00DAB"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742,211 </w:t>
            </w:r>
          </w:p>
        </w:tc>
        <w:tc>
          <w:tcPr>
            <w:tcW w:w="720" w:type="dxa"/>
            <w:tcBorders>
              <w:top w:val="nil"/>
              <w:left w:val="nil"/>
              <w:bottom w:val="nil"/>
              <w:right w:val="nil"/>
            </w:tcBorders>
          </w:tcPr>
          <w:p w14:paraId="6DD8FD3C"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3877E145"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$92,762,574</w:t>
            </w:r>
          </w:p>
        </w:tc>
        <w:tc>
          <w:tcPr>
            <w:tcW w:w="630" w:type="dxa"/>
            <w:tcBorders>
              <w:top w:val="nil"/>
              <w:left w:val="nil"/>
              <w:bottom w:val="nil"/>
              <w:right w:val="nil"/>
            </w:tcBorders>
          </w:tcPr>
          <w:p w14:paraId="6A09D6AD"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 xml:space="preserve"> 39,174 </w:t>
            </w:r>
          </w:p>
        </w:tc>
        <w:tc>
          <w:tcPr>
            <w:tcW w:w="720" w:type="dxa"/>
            <w:tcBorders>
              <w:top w:val="nil"/>
              <w:left w:val="nil"/>
              <w:bottom w:val="nil"/>
              <w:right w:val="nil"/>
            </w:tcBorders>
          </w:tcPr>
          <w:p w14:paraId="167D970C"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6B1865EC"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$92,762,574</w:t>
            </w:r>
          </w:p>
        </w:tc>
        <w:tc>
          <w:tcPr>
            <w:tcW w:w="720" w:type="dxa"/>
            <w:tcBorders>
              <w:top w:val="nil"/>
              <w:left w:val="nil"/>
              <w:bottom w:val="nil"/>
              <w:right w:val="nil"/>
            </w:tcBorders>
          </w:tcPr>
          <w:p w14:paraId="220B0247"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1B6314DE"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$92,762,574</w:t>
            </w:r>
          </w:p>
        </w:tc>
        <w:tc>
          <w:tcPr>
            <w:tcW w:w="1260" w:type="dxa"/>
            <w:tcBorders>
              <w:top w:val="nil"/>
              <w:left w:val="nil"/>
              <w:bottom w:val="nil"/>
              <w:right w:val="nil"/>
            </w:tcBorders>
          </w:tcPr>
          <w:p w14:paraId="43244F88"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$278,287,721</w:t>
            </w:r>
          </w:p>
        </w:tc>
      </w:tr>
      <w:tr w:rsidR="00C172C1" w:rsidRPr="001D53B6" w14:paraId="178462CA" w14:textId="77777777" w:rsidTr="00C172C1">
        <w:trPr>
          <w:trHeight w:val="300"/>
        </w:trPr>
        <w:tc>
          <w:tcPr>
            <w:tcW w:w="2124" w:type="dxa"/>
            <w:tcBorders>
              <w:top w:val="nil"/>
              <w:left w:val="nil"/>
              <w:bottom w:val="nil"/>
              <w:right w:val="nil"/>
            </w:tcBorders>
          </w:tcPr>
          <w:p w14:paraId="5AC883AE"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1170" w:type="dxa"/>
            <w:tcBorders>
              <w:top w:val="nil"/>
              <w:left w:val="nil"/>
              <w:bottom w:val="nil"/>
              <w:right w:val="nil"/>
            </w:tcBorders>
          </w:tcPr>
          <w:p w14:paraId="59708CBE"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4DD42964"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5F44CF65"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6DD54F5F"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2B52EF1E"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27AC1243"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0F456F4E"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75CBCA71"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2622395A"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1260" w:type="dxa"/>
            <w:tcBorders>
              <w:top w:val="nil"/>
              <w:left w:val="nil"/>
              <w:bottom w:val="nil"/>
              <w:right w:val="nil"/>
            </w:tcBorders>
          </w:tcPr>
          <w:p w14:paraId="09FF058B"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r>
      <w:tr w:rsidR="00C172C1" w:rsidRPr="001D53B6" w14:paraId="5F0689D9" w14:textId="77777777" w:rsidTr="00C172C1">
        <w:trPr>
          <w:trHeight w:val="300"/>
        </w:trPr>
        <w:tc>
          <w:tcPr>
            <w:tcW w:w="2124" w:type="dxa"/>
            <w:tcBorders>
              <w:top w:val="nil"/>
              <w:left w:val="nil"/>
              <w:bottom w:val="nil"/>
              <w:right w:val="nil"/>
            </w:tcBorders>
          </w:tcPr>
          <w:p w14:paraId="4CCEA930"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Part I - General support</w:t>
            </w:r>
          </w:p>
        </w:tc>
        <w:tc>
          <w:tcPr>
            <w:tcW w:w="1170" w:type="dxa"/>
            <w:tcBorders>
              <w:top w:val="nil"/>
              <w:left w:val="nil"/>
              <w:bottom w:val="nil"/>
              <w:right w:val="nil"/>
            </w:tcBorders>
          </w:tcPr>
          <w:p w14:paraId="2F3D6D0E"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$92,762,573.67</w:t>
            </w:r>
          </w:p>
        </w:tc>
        <w:tc>
          <w:tcPr>
            <w:tcW w:w="720" w:type="dxa"/>
            <w:tcBorders>
              <w:top w:val="nil"/>
              <w:left w:val="nil"/>
              <w:bottom w:val="nil"/>
              <w:right w:val="nil"/>
            </w:tcBorders>
          </w:tcPr>
          <w:p w14:paraId="628D8B06"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6B1B5652"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12CB6C45"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21055CDF"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65C8ADA0"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5EB9D26D"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19CA90BE"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0B1F8724"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1260" w:type="dxa"/>
            <w:tcBorders>
              <w:top w:val="nil"/>
              <w:left w:val="nil"/>
              <w:bottom w:val="nil"/>
              <w:right w:val="nil"/>
            </w:tcBorders>
          </w:tcPr>
          <w:p w14:paraId="539039CF"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r>
      <w:tr w:rsidR="00C172C1" w:rsidRPr="001D53B6" w14:paraId="221C21F3" w14:textId="77777777" w:rsidTr="00C172C1">
        <w:trPr>
          <w:trHeight w:val="300"/>
        </w:trPr>
        <w:tc>
          <w:tcPr>
            <w:tcW w:w="2124" w:type="dxa"/>
            <w:tcBorders>
              <w:top w:val="nil"/>
              <w:left w:val="nil"/>
              <w:bottom w:val="nil"/>
              <w:right w:val="nil"/>
            </w:tcBorders>
          </w:tcPr>
          <w:p w14:paraId="18E326E5"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Part II - In-state student subsidization</w:t>
            </w:r>
          </w:p>
        </w:tc>
        <w:tc>
          <w:tcPr>
            <w:tcW w:w="1170" w:type="dxa"/>
            <w:tcBorders>
              <w:top w:val="nil"/>
              <w:left w:val="nil"/>
              <w:bottom w:val="nil"/>
              <w:right w:val="nil"/>
            </w:tcBorders>
          </w:tcPr>
          <w:p w14:paraId="5D57E998"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$92,762,573.67</w:t>
            </w:r>
          </w:p>
        </w:tc>
        <w:tc>
          <w:tcPr>
            <w:tcW w:w="720" w:type="dxa"/>
            <w:tcBorders>
              <w:top w:val="nil"/>
              <w:left w:val="nil"/>
              <w:bottom w:val="nil"/>
              <w:right w:val="nil"/>
            </w:tcBorders>
          </w:tcPr>
          <w:p w14:paraId="10A95439"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4B10C6AE"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5DA2CEFC"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49EB8837"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6BD58AAF"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7A363A35"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0D63ECFB"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4D87180C"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1260" w:type="dxa"/>
            <w:tcBorders>
              <w:top w:val="nil"/>
              <w:left w:val="nil"/>
              <w:bottom w:val="nil"/>
              <w:right w:val="nil"/>
            </w:tcBorders>
          </w:tcPr>
          <w:p w14:paraId="52B26D68"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r>
      <w:tr w:rsidR="00C172C1" w:rsidRPr="001D53B6" w14:paraId="435CC688" w14:textId="77777777" w:rsidTr="00C172C1">
        <w:trPr>
          <w:trHeight w:val="300"/>
        </w:trPr>
        <w:tc>
          <w:tcPr>
            <w:tcW w:w="2124" w:type="dxa"/>
            <w:tcBorders>
              <w:top w:val="nil"/>
              <w:left w:val="nil"/>
              <w:bottom w:val="nil"/>
              <w:right w:val="nil"/>
            </w:tcBorders>
          </w:tcPr>
          <w:p w14:paraId="2C4F21B9"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Part III - Public policy goals</w:t>
            </w:r>
          </w:p>
        </w:tc>
        <w:tc>
          <w:tcPr>
            <w:tcW w:w="1170" w:type="dxa"/>
            <w:tcBorders>
              <w:top w:val="nil"/>
              <w:left w:val="nil"/>
              <w:bottom w:val="nil"/>
              <w:right w:val="nil"/>
            </w:tcBorders>
          </w:tcPr>
          <w:p w14:paraId="72CD83C1" w14:textId="77777777" w:rsidR="00C172C1" w:rsidRPr="001D53B6" w:rsidRDefault="00C172C1" w:rsidP="00C172C1">
            <w:pPr>
              <w:widowControl w:val="0"/>
              <w:autoSpaceDE w:val="0"/>
              <w:autoSpaceDN w:val="0"/>
              <w:adjustRightInd w:val="0"/>
              <w:jc w:val="right"/>
              <w:rPr>
                <w:rFonts w:ascii="Calibri" w:hAnsi="Calibri" w:cs="Calibri"/>
                <w:color w:val="000000"/>
                <w:sz w:val="16"/>
                <w:szCs w:val="16"/>
              </w:rPr>
            </w:pPr>
            <w:r w:rsidRPr="001D53B6">
              <w:rPr>
                <w:rFonts w:ascii="Calibri" w:hAnsi="Calibri" w:cs="Calibri"/>
                <w:color w:val="000000"/>
                <w:sz w:val="16"/>
                <w:szCs w:val="16"/>
              </w:rPr>
              <w:t>$92,762,573.67</w:t>
            </w:r>
          </w:p>
        </w:tc>
        <w:tc>
          <w:tcPr>
            <w:tcW w:w="720" w:type="dxa"/>
            <w:tcBorders>
              <w:top w:val="nil"/>
              <w:left w:val="nil"/>
              <w:bottom w:val="nil"/>
              <w:right w:val="nil"/>
            </w:tcBorders>
          </w:tcPr>
          <w:p w14:paraId="5144833D"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4C6BAC60"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59C0CA52"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541E97C3"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34B0E3DD"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01226ED4"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210270D1"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75AEC56F"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c>
          <w:tcPr>
            <w:tcW w:w="1260" w:type="dxa"/>
            <w:tcBorders>
              <w:top w:val="nil"/>
              <w:left w:val="nil"/>
              <w:bottom w:val="nil"/>
              <w:right w:val="nil"/>
            </w:tcBorders>
          </w:tcPr>
          <w:p w14:paraId="4CD931EA" w14:textId="77777777" w:rsidR="00C172C1" w:rsidRPr="001D53B6" w:rsidRDefault="00C172C1" w:rsidP="00C172C1">
            <w:pPr>
              <w:widowControl w:val="0"/>
              <w:autoSpaceDE w:val="0"/>
              <w:autoSpaceDN w:val="0"/>
              <w:adjustRightInd w:val="0"/>
              <w:rPr>
                <w:rFonts w:ascii="Calibri" w:hAnsi="Calibri" w:cs="Calibri"/>
                <w:color w:val="000000"/>
                <w:sz w:val="16"/>
                <w:szCs w:val="16"/>
              </w:rPr>
            </w:pPr>
          </w:p>
        </w:tc>
      </w:tr>
    </w:tbl>
    <w:p w14:paraId="424FC576" w14:textId="5777353A" w:rsidR="00C172C1" w:rsidRDefault="00C172C1" w:rsidP="000368C7">
      <w:pPr>
        <w:spacing w:line="480" w:lineRule="auto"/>
        <w:jc w:val="both"/>
      </w:pPr>
    </w:p>
    <w:p w14:paraId="1341D461" w14:textId="77777777" w:rsidR="00C172C1" w:rsidRDefault="00C172C1">
      <w:r>
        <w:br w:type="page"/>
      </w:r>
    </w:p>
    <w:p w14:paraId="0C0FDBFD" w14:textId="08B5979F" w:rsidR="006E5F50" w:rsidRPr="00C172C1" w:rsidRDefault="00C172C1" w:rsidP="00C172C1">
      <w:pPr>
        <w:spacing w:line="480" w:lineRule="auto"/>
        <w:jc w:val="center"/>
        <w:rPr>
          <w:b/>
          <w:sz w:val="28"/>
          <w:szCs w:val="28"/>
        </w:rPr>
      </w:pPr>
      <w:r w:rsidRPr="00C172C1">
        <w:rPr>
          <w:b/>
          <w:sz w:val="28"/>
          <w:szCs w:val="28"/>
        </w:rPr>
        <w:t>FTE – PART III ALLOCATED TO MAKE INSTITUTIONS WHOLE</w:t>
      </w:r>
    </w:p>
    <w:tbl>
      <w:tblPr>
        <w:tblW w:w="10494" w:type="dxa"/>
        <w:tblInd w:w="-1026" w:type="dxa"/>
        <w:tblLayout w:type="fixed"/>
        <w:tblCellMar>
          <w:left w:w="54" w:type="dxa"/>
          <w:right w:w="54" w:type="dxa"/>
        </w:tblCellMar>
        <w:tblLook w:val="0000" w:firstRow="0" w:lastRow="0" w:firstColumn="0" w:lastColumn="0" w:noHBand="0" w:noVBand="0"/>
      </w:tblPr>
      <w:tblGrid>
        <w:gridCol w:w="1854"/>
        <w:gridCol w:w="1260"/>
        <w:gridCol w:w="720"/>
        <w:gridCol w:w="630"/>
        <w:gridCol w:w="990"/>
        <w:gridCol w:w="720"/>
        <w:gridCol w:w="630"/>
        <w:gridCol w:w="990"/>
        <w:gridCol w:w="630"/>
        <w:gridCol w:w="990"/>
        <w:gridCol w:w="1080"/>
      </w:tblGrid>
      <w:tr w:rsidR="00C172C1" w:rsidRPr="00C172C1" w14:paraId="038504B7" w14:textId="77777777" w:rsidTr="002A0139">
        <w:trPr>
          <w:trHeight w:val="300"/>
        </w:trPr>
        <w:tc>
          <w:tcPr>
            <w:tcW w:w="1854" w:type="dxa"/>
            <w:tcBorders>
              <w:top w:val="nil"/>
              <w:left w:val="nil"/>
              <w:bottom w:val="nil"/>
              <w:right w:val="nil"/>
            </w:tcBorders>
          </w:tcPr>
          <w:p w14:paraId="26E4255B" w14:textId="77777777" w:rsidR="00C172C1" w:rsidRPr="00C172C1" w:rsidRDefault="00C172C1">
            <w:pPr>
              <w:widowControl w:val="0"/>
              <w:autoSpaceDE w:val="0"/>
              <w:autoSpaceDN w:val="0"/>
              <w:adjustRightInd w:val="0"/>
              <w:jc w:val="center"/>
              <w:rPr>
                <w:rFonts w:ascii="Calibri" w:hAnsi="Calibri" w:cs="Calibri"/>
                <w:b/>
                <w:bCs/>
                <w:color w:val="000000"/>
                <w:sz w:val="16"/>
                <w:szCs w:val="16"/>
              </w:rPr>
            </w:pPr>
          </w:p>
        </w:tc>
        <w:tc>
          <w:tcPr>
            <w:tcW w:w="1260" w:type="dxa"/>
            <w:tcBorders>
              <w:top w:val="nil"/>
              <w:left w:val="nil"/>
              <w:bottom w:val="nil"/>
              <w:right w:val="nil"/>
            </w:tcBorders>
          </w:tcPr>
          <w:p w14:paraId="1979E74E" w14:textId="77777777" w:rsidR="00C172C1" w:rsidRPr="00C172C1" w:rsidRDefault="00C172C1">
            <w:pPr>
              <w:widowControl w:val="0"/>
              <w:autoSpaceDE w:val="0"/>
              <w:autoSpaceDN w:val="0"/>
              <w:adjustRightInd w:val="0"/>
              <w:jc w:val="center"/>
              <w:rPr>
                <w:rFonts w:ascii="Calibri" w:hAnsi="Calibri" w:cs="Calibri"/>
                <w:b/>
                <w:bCs/>
                <w:color w:val="000000"/>
                <w:sz w:val="16"/>
                <w:szCs w:val="16"/>
              </w:rPr>
            </w:pPr>
            <w:r w:rsidRPr="00C172C1">
              <w:rPr>
                <w:rFonts w:ascii="Calibri" w:hAnsi="Calibri" w:cs="Calibri"/>
                <w:b/>
                <w:bCs/>
                <w:color w:val="000000"/>
                <w:sz w:val="16"/>
                <w:szCs w:val="16"/>
              </w:rPr>
              <w:t>FY 2014</w:t>
            </w:r>
          </w:p>
        </w:tc>
        <w:tc>
          <w:tcPr>
            <w:tcW w:w="720" w:type="dxa"/>
            <w:tcBorders>
              <w:top w:val="nil"/>
              <w:left w:val="nil"/>
              <w:bottom w:val="nil"/>
              <w:right w:val="nil"/>
            </w:tcBorders>
          </w:tcPr>
          <w:p w14:paraId="74AB6D9B" w14:textId="77777777" w:rsidR="00C172C1" w:rsidRPr="00C172C1" w:rsidRDefault="00C172C1">
            <w:pPr>
              <w:widowControl w:val="0"/>
              <w:autoSpaceDE w:val="0"/>
              <w:autoSpaceDN w:val="0"/>
              <w:adjustRightInd w:val="0"/>
              <w:jc w:val="center"/>
              <w:rPr>
                <w:rFonts w:ascii="Calibri" w:hAnsi="Calibri" w:cs="Calibri"/>
                <w:b/>
                <w:bCs/>
                <w:color w:val="000000"/>
                <w:sz w:val="16"/>
                <w:szCs w:val="16"/>
              </w:rPr>
            </w:pPr>
            <w:r w:rsidRPr="00C172C1">
              <w:rPr>
                <w:rFonts w:ascii="Calibri" w:hAnsi="Calibri" w:cs="Calibri"/>
                <w:b/>
                <w:bCs/>
                <w:color w:val="000000"/>
                <w:sz w:val="16"/>
                <w:szCs w:val="16"/>
              </w:rPr>
              <w:t xml:space="preserve"> SCH </w:t>
            </w:r>
          </w:p>
        </w:tc>
        <w:tc>
          <w:tcPr>
            <w:tcW w:w="630" w:type="dxa"/>
            <w:tcBorders>
              <w:top w:val="nil"/>
              <w:left w:val="nil"/>
              <w:bottom w:val="nil"/>
              <w:right w:val="nil"/>
            </w:tcBorders>
          </w:tcPr>
          <w:p w14:paraId="6F98BE14" w14:textId="77777777" w:rsidR="00C172C1" w:rsidRPr="00C172C1" w:rsidRDefault="00C172C1">
            <w:pPr>
              <w:widowControl w:val="0"/>
              <w:autoSpaceDE w:val="0"/>
              <w:autoSpaceDN w:val="0"/>
              <w:adjustRightInd w:val="0"/>
              <w:jc w:val="center"/>
              <w:rPr>
                <w:rFonts w:ascii="Calibri" w:hAnsi="Calibri" w:cs="Calibri"/>
                <w:b/>
                <w:bCs/>
                <w:color w:val="000000"/>
                <w:sz w:val="16"/>
                <w:szCs w:val="16"/>
              </w:rPr>
            </w:pPr>
            <w:r w:rsidRPr="00C172C1">
              <w:rPr>
                <w:rFonts w:ascii="Calibri" w:hAnsi="Calibri" w:cs="Calibri"/>
                <w:b/>
                <w:bCs/>
                <w:color w:val="000000"/>
                <w:sz w:val="16"/>
                <w:szCs w:val="16"/>
              </w:rPr>
              <w:t xml:space="preserve">% </w:t>
            </w:r>
            <w:proofErr w:type="gramStart"/>
            <w:r w:rsidRPr="00C172C1">
              <w:rPr>
                <w:rFonts w:ascii="Calibri" w:hAnsi="Calibri" w:cs="Calibri"/>
                <w:b/>
                <w:bCs/>
                <w:color w:val="000000"/>
                <w:sz w:val="16"/>
                <w:szCs w:val="16"/>
              </w:rPr>
              <w:t>of</w:t>
            </w:r>
            <w:proofErr w:type="gramEnd"/>
            <w:r w:rsidRPr="00C172C1">
              <w:rPr>
                <w:rFonts w:ascii="Calibri" w:hAnsi="Calibri" w:cs="Calibri"/>
                <w:b/>
                <w:bCs/>
                <w:color w:val="000000"/>
                <w:sz w:val="16"/>
                <w:szCs w:val="16"/>
              </w:rPr>
              <w:t xml:space="preserve"> total</w:t>
            </w:r>
          </w:p>
        </w:tc>
        <w:tc>
          <w:tcPr>
            <w:tcW w:w="990" w:type="dxa"/>
            <w:tcBorders>
              <w:top w:val="nil"/>
              <w:left w:val="nil"/>
              <w:bottom w:val="nil"/>
              <w:right w:val="nil"/>
            </w:tcBorders>
          </w:tcPr>
          <w:p w14:paraId="51C0FF53" w14:textId="77777777" w:rsidR="00C172C1" w:rsidRPr="00C172C1" w:rsidRDefault="00C172C1">
            <w:pPr>
              <w:widowControl w:val="0"/>
              <w:autoSpaceDE w:val="0"/>
              <w:autoSpaceDN w:val="0"/>
              <w:adjustRightInd w:val="0"/>
              <w:jc w:val="center"/>
              <w:rPr>
                <w:rFonts w:ascii="Calibri" w:hAnsi="Calibri" w:cs="Calibri"/>
                <w:b/>
                <w:bCs/>
                <w:color w:val="000000"/>
                <w:sz w:val="16"/>
                <w:szCs w:val="16"/>
              </w:rPr>
            </w:pPr>
            <w:r w:rsidRPr="00C172C1">
              <w:rPr>
                <w:rFonts w:ascii="Calibri" w:hAnsi="Calibri" w:cs="Calibri"/>
                <w:b/>
                <w:bCs/>
                <w:color w:val="000000"/>
                <w:sz w:val="16"/>
                <w:szCs w:val="16"/>
              </w:rPr>
              <w:t>Part I allocation</w:t>
            </w:r>
          </w:p>
        </w:tc>
        <w:tc>
          <w:tcPr>
            <w:tcW w:w="720" w:type="dxa"/>
            <w:tcBorders>
              <w:top w:val="nil"/>
              <w:left w:val="nil"/>
              <w:bottom w:val="nil"/>
              <w:right w:val="nil"/>
            </w:tcBorders>
          </w:tcPr>
          <w:p w14:paraId="740FE8F1" w14:textId="77777777" w:rsidR="00C172C1" w:rsidRPr="00C172C1" w:rsidRDefault="00C172C1">
            <w:pPr>
              <w:widowControl w:val="0"/>
              <w:autoSpaceDE w:val="0"/>
              <w:autoSpaceDN w:val="0"/>
              <w:adjustRightInd w:val="0"/>
              <w:jc w:val="center"/>
              <w:rPr>
                <w:rFonts w:ascii="Calibri" w:hAnsi="Calibri" w:cs="Calibri"/>
                <w:b/>
                <w:bCs/>
                <w:color w:val="000000"/>
                <w:sz w:val="16"/>
                <w:szCs w:val="16"/>
              </w:rPr>
            </w:pPr>
            <w:r w:rsidRPr="00C172C1">
              <w:rPr>
                <w:rFonts w:ascii="Calibri" w:hAnsi="Calibri" w:cs="Calibri"/>
                <w:b/>
                <w:bCs/>
                <w:color w:val="000000"/>
                <w:sz w:val="16"/>
                <w:szCs w:val="16"/>
              </w:rPr>
              <w:t>In-state FTE</w:t>
            </w:r>
          </w:p>
        </w:tc>
        <w:tc>
          <w:tcPr>
            <w:tcW w:w="630" w:type="dxa"/>
            <w:tcBorders>
              <w:top w:val="nil"/>
              <w:left w:val="nil"/>
              <w:bottom w:val="nil"/>
              <w:right w:val="nil"/>
            </w:tcBorders>
          </w:tcPr>
          <w:p w14:paraId="216864EE" w14:textId="77777777" w:rsidR="00C172C1" w:rsidRPr="00C172C1" w:rsidRDefault="00C172C1">
            <w:pPr>
              <w:widowControl w:val="0"/>
              <w:autoSpaceDE w:val="0"/>
              <w:autoSpaceDN w:val="0"/>
              <w:adjustRightInd w:val="0"/>
              <w:jc w:val="center"/>
              <w:rPr>
                <w:rFonts w:ascii="Calibri" w:hAnsi="Calibri" w:cs="Calibri"/>
                <w:b/>
                <w:bCs/>
                <w:color w:val="000000"/>
                <w:sz w:val="16"/>
                <w:szCs w:val="16"/>
              </w:rPr>
            </w:pPr>
            <w:r w:rsidRPr="00C172C1">
              <w:rPr>
                <w:rFonts w:ascii="Calibri" w:hAnsi="Calibri" w:cs="Calibri"/>
                <w:b/>
                <w:bCs/>
                <w:color w:val="000000"/>
                <w:sz w:val="16"/>
                <w:szCs w:val="16"/>
              </w:rPr>
              <w:t xml:space="preserve">% </w:t>
            </w:r>
            <w:proofErr w:type="gramStart"/>
            <w:r w:rsidRPr="00C172C1">
              <w:rPr>
                <w:rFonts w:ascii="Calibri" w:hAnsi="Calibri" w:cs="Calibri"/>
                <w:b/>
                <w:bCs/>
                <w:color w:val="000000"/>
                <w:sz w:val="16"/>
                <w:szCs w:val="16"/>
              </w:rPr>
              <w:t>of</w:t>
            </w:r>
            <w:proofErr w:type="gramEnd"/>
            <w:r w:rsidRPr="00C172C1">
              <w:rPr>
                <w:rFonts w:ascii="Calibri" w:hAnsi="Calibri" w:cs="Calibri"/>
                <w:b/>
                <w:bCs/>
                <w:color w:val="000000"/>
                <w:sz w:val="16"/>
                <w:szCs w:val="16"/>
              </w:rPr>
              <w:t xml:space="preserve"> total</w:t>
            </w:r>
          </w:p>
        </w:tc>
        <w:tc>
          <w:tcPr>
            <w:tcW w:w="990" w:type="dxa"/>
            <w:tcBorders>
              <w:top w:val="nil"/>
              <w:left w:val="nil"/>
              <w:bottom w:val="nil"/>
              <w:right w:val="nil"/>
            </w:tcBorders>
          </w:tcPr>
          <w:p w14:paraId="3CF4D035" w14:textId="77777777" w:rsidR="00C172C1" w:rsidRPr="00C172C1" w:rsidRDefault="00C172C1">
            <w:pPr>
              <w:widowControl w:val="0"/>
              <w:autoSpaceDE w:val="0"/>
              <w:autoSpaceDN w:val="0"/>
              <w:adjustRightInd w:val="0"/>
              <w:jc w:val="center"/>
              <w:rPr>
                <w:rFonts w:ascii="Calibri" w:hAnsi="Calibri" w:cs="Calibri"/>
                <w:b/>
                <w:bCs/>
                <w:color w:val="000000"/>
                <w:sz w:val="16"/>
                <w:szCs w:val="16"/>
              </w:rPr>
            </w:pPr>
            <w:r w:rsidRPr="00C172C1">
              <w:rPr>
                <w:rFonts w:ascii="Calibri" w:hAnsi="Calibri" w:cs="Calibri"/>
                <w:b/>
                <w:bCs/>
                <w:color w:val="000000"/>
                <w:sz w:val="16"/>
                <w:szCs w:val="16"/>
              </w:rPr>
              <w:t>Part II Allocation</w:t>
            </w:r>
          </w:p>
        </w:tc>
        <w:tc>
          <w:tcPr>
            <w:tcW w:w="630" w:type="dxa"/>
            <w:tcBorders>
              <w:top w:val="nil"/>
              <w:left w:val="nil"/>
              <w:bottom w:val="nil"/>
              <w:right w:val="nil"/>
            </w:tcBorders>
          </w:tcPr>
          <w:p w14:paraId="16E4619D" w14:textId="77777777" w:rsidR="00C172C1" w:rsidRPr="00C172C1" w:rsidRDefault="00C172C1">
            <w:pPr>
              <w:widowControl w:val="0"/>
              <w:autoSpaceDE w:val="0"/>
              <w:autoSpaceDN w:val="0"/>
              <w:adjustRightInd w:val="0"/>
              <w:jc w:val="center"/>
              <w:rPr>
                <w:rFonts w:ascii="Calibri" w:hAnsi="Calibri" w:cs="Calibri"/>
                <w:b/>
                <w:bCs/>
                <w:color w:val="000000"/>
                <w:sz w:val="16"/>
                <w:szCs w:val="16"/>
              </w:rPr>
            </w:pPr>
            <w:r w:rsidRPr="00C172C1">
              <w:rPr>
                <w:rFonts w:ascii="Calibri" w:hAnsi="Calibri" w:cs="Calibri"/>
                <w:b/>
                <w:bCs/>
                <w:color w:val="000000"/>
                <w:sz w:val="16"/>
                <w:szCs w:val="16"/>
              </w:rPr>
              <w:t>Policy %age</w:t>
            </w:r>
          </w:p>
        </w:tc>
        <w:tc>
          <w:tcPr>
            <w:tcW w:w="990" w:type="dxa"/>
            <w:tcBorders>
              <w:top w:val="nil"/>
              <w:left w:val="nil"/>
              <w:bottom w:val="nil"/>
              <w:right w:val="nil"/>
            </w:tcBorders>
          </w:tcPr>
          <w:p w14:paraId="52818E23" w14:textId="77777777" w:rsidR="00C172C1" w:rsidRPr="00C172C1" w:rsidRDefault="00C172C1">
            <w:pPr>
              <w:widowControl w:val="0"/>
              <w:autoSpaceDE w:val="0"/>
              <w:autoSpaceDN w:val="0"/>
              <w:adjustRightInd w:val="0"/>
              <w:jc w:val="center"/>
              <w:rPr>
                <w:rFonts w:ascii="Calibri" w:hAnsi="Calibri" w:cs="Calibri"/>
                <w:b/>
                <w:bCs/>
                <w:color w:val="000000"/>
                <w:sz w:val="16"/>
                <w:szCs w:val="16"/>
              </w:rPr>
            </w:pPr>
            <w:proofErr w:type="spellStart"/>
            <w:r w:rsidRPr="00C172C1">
              <w:rPr>
                <w:rFonts w:ascii="Calibri" w:hAnsi="Calibri" w:cs="Calibri"/>
                <w:b/>
                <w:bCs/>
                <w:color w:val="000000"/>
                <w:sz w:val="16"/>
                <w:szCs w:val="16"/>
              </w:rPr>
              <w:t>Pt</w:t>
            </w:r>
            <w:proofErr w:type="spellEnd"/>
            <w:r w:rsidRPr="00C172C1">
              <w:rPr>
                <w:rFonts w:ascii="Calibri" w:hAnsi="Calibri" w:cs="Calibri"/>
                <w:b/>
                <w:bCs/>
                <w:color w:val="000000"/>
                <w:sz w:val="16"/>
                <w:szCs w:val="16"/>
              </w:rPr>
              <w:t xml:space="preserve"> III </w:t>
            </w:r>
            <w:proofErr w:type="spellStart"/>
            <w:r w:rsidRPr="00C172C1">
              <w:rPr>
                <w:rFonts w:ascii="Calibri" w:hAnsi="Calibri" w:cs="Calibri"/>
                <w:b/>
                <w:bCs/>
                <w:color w:val="000000"/>
                <w:sz w:val="16"/>
                <w:szCs w:val="16"/>
              </w:rPr>
              <w:t>Alloc</w:t>
            </w:r>
            <w:proofErr w:type="spellEnd"/>
          </w:p>
        </w:tc>
        <w:tc>
          <w:tcPr>
            <w:tcW w:w="1080" w:type="dxa"/>
            <w:tcBorders>
              <w:top w:val="nil"/>
              <w:left w:val="nil"/>
              <w:bottom w:val="nil"/>
              <w:right w:val="nil"/>
            </w:tcBorders>
          </w:tcPr>
          <w:p w14:paraId="4F36C734" w14:textId="77777777" w:rsidR="00C172C1" w:rsidRPr="00C172C1" w:rsidRDefault="00C172C1">
            <w:pPr>
              <w:widowControl w:val="0"/>
              <w:autoSpaceDE w:val="0"/>
              <w:autoSpaceDN w:val="0"/>
              <w:adjustRightInd w:val="0"/>
              <w:jc w:val="center"/>
              <w:rPr>
                <w:rFonts w:ascii="Calibri" w:hAnsi="Calibri" w:cs="Calibri"/>
                <w:b/>
                <w:bCs/>
                <w:color w:val="000000"/>
                <w:sz w:val="16"/>
                <w:szCs w:val="16"/>
              </w:rPr>
            </w:pPr>
            <w:r w:rsidRPr="00C172C1">
              <w:rPr>
                <w:rFonts w:ascii="Calibri" w:hAnsi="Calibri" w:cs="Calibri"/>
                <w:b/>
                <w:bCs/>
                <w:color w:val="000000"/>
                <w:sz w:val="16"/>
                <w:szCs w:val="16"/>
              </w:rPr>
              <w:t>Total Appropriations</w:t>
            </w:r>
          </w:p>
        </w:tc>
      </w:tr>
      <w:tr w:rsidR="00C172C1" w:rsidRPr="00C172C1" w14:paraId="31252A1E" w14:textId="77777777" w:rsidTr="002A0139">
        <w:trPr>
          <w:trHeight w:val="300"/>
        </w:trPr>
        <w:tc>
          <w:tcPr>
            <w:tcW w:w="1854" w:type="dxa"/>
            <w:tcBorders>
              <w:top w:val="nil"/>
              <w:left w:val="nil"/>
              <w:bottom w:val="nil"/>
              <w:right w:val="nil"/>
            </w:tcBorders>
          </w:tcPr>
          <w:p w14:paraId="21128665"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West Virginia University</w:t>
            </w:r>
          </w:p>
        </w:tc>
        <w:tc>
          <w:tcPr>
            <w:tcW w:w="1260" w:type="dxa"/>
            <w:tcBorders>
              <w:top w:val="nil"/>
              <w:left w:val="nil"/>
              <w:bottom w:val="nil"/>
              <w:right w:val="nil"/>
            </w:tcBorders>
          </w:tcPr>
          <w:p w14:paraId="5EBAA715"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$134,737,474</w:t>
            </w:r>
          </w:p>
        </w:tc>
        <w:tc>
          <w:tcPr>
            <w:tcW w:w="720" w:type="dxa"/>
            <w:tcBorders>
              <w:top w:val="nil"/>
              <w:left w:val="nil"/>
              <w:bottom w:val="nil"/>
              <w:right w:val="nil"/>
            </w:tcBorders>
          </w:tcPr>
          <w:p w14:paraId="39A8BB07"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336,015 </w:t>
            </w:r>
          </w:p>
        </w:tc>
        <w:tc>
          <w:tcPr>
            <w:tcW w:w="630" w:type="dxa"/>
            <w:tcBorders>
              <w:top w:val="nil"/>
              <w:left w:val="nil"/>
              <w:bottom w:val="nil"/>
              <w:right w:val="nil"/>
            </w:tcBorders>
          </w:tcPr>
          <w:p w14:paraId="191BD2B0"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0.4527</w:t>
            </w:r>
          </w:p>
        </w:tc>
        <w:tc>
          <w:tcPr>
            <w:tcW w:w="990" w:type="dxa"/>
            <w:tcBorders>
              <w:top w:val="nil"/>
              <w:left w:val="nil"/>
              <w:bottom w:val="nil"/>
              <w:right w:val="nil"/>
            </w:tcBorders>
          </w:tcPr>
          <w:p w14:paraId="5B6E66EE"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$41,995,627</w:t>
            </w:r>
          </w:p>
        </w:tc>
        <w:tc>
          <w:tcPr>
            <w:tcW w:w="720" w:type="dxa"/>
            <w:tcBorders>
              <w:top w:val="nil"/>
              <w:left w:val="nil"/>
              <w:bottom w:val="nil"/>
              <w:right w:val="nil"/>
            </w:tcBorders>
          </w:tcPr>
          <w:p w14:paraId="356F8CC2"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14,324 </w:t>
            </w:r>
          </w:p>
        </w:tc>
        <w:tc>
          <w:tcPr>
            <w:tcW w:w="630" w:type="dxa"/>
            <w:tcBorders>
              <w:top w:val="nil"/>
              <w:left w:val="nil"/>
              <w:bottom w:val="nil"/>
              <w:right w:val="nil"/>
            </w:tcBorders>
          </w:tcPr>
          <w:p w14:paraId="1377AF38"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0.3657</w:t>
            </w:r>
          </w:p>
        </w:tc>
        <w:tc>
          <w:tcPr>
            <w:tcW w:w="990" w:type="dxa"/>
            <w:tcBorders>
              <w:top w:val="nil"/>
              <w:left w:val="nil"/>
              <w:bottom w:val="nil"/>
              <w:right w:val="nil"/>
            </w:tcBorders>
          </w:tcPr>
          <w:p w14:paraId="7189A86B"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$33,918,699</w:t>
            </w:r>
          </w:p>
        </w:tc>
        <w:tc>
          <w:tcPr>
            <w:tcW w:w="630" w:type="dxa"/>
            <w:tcBorders>
              <w:top w:val="nil"/>
              <w:left w:val="nil"/>
              <w:bottom w:val="nil"/>
              <w:right w:val="nil"/>
            </w:tcBorders>
          </w:tcPr>
          <w:p w14:paraId="490F1019"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0.4842</w:t>
            </w:r>
          </w:p>
        </w:tc>
        <w:tc>
          <w:tcPr>
            <w:tcW w:w="990" w:type="dxa"/>
            <w:tcBorders>
              <w:top w:val="nil"/>
              <w:left w:val="nil"/>
              <w:bottom w:val="nil"/>
              <w:right w:val="nil"/>
            </w:tcBorders>
          </w:tcPr>
          <w:p w14:paraId="61E97967"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$58,823,148</w:t>
            </w:r>
          </w:p>
        </w:tc>
        <w:tc>
          <w:tcPr>
            <w:tcW w:w="1080" w:type="dxa"/>
            <w:tcBorders>
              <w:top w:val="nil"/>
              <w:left w:val="nil"/>
              <w:bottom w:val="nil"/>
              <w:right w:val="nil"/>
            </w:tcBorders>
          </w:tcPr>
          <w:p w14:paraId="54E35AF4"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$134,737,474</w:t>
            </w:r>
          </w:p>
        </w:tc>
      </w:tr>
      <w:tr w:rsidR="00C172C1" w:rsidRPr="00C172C1" w14:paraId="6A893372" w14:textId="77777777" w:rsidTr="002A0139">
        <w:trPr>
          <w:trHeight w:val="300"/>
        </w:trPr>
        <w:tc>
          <w:tcPr>
            <w:tcW w:w="1854" w:type="dxa"/>
            <w:tcBorders>
              <w:top w:val="nil"/>
              <w:left w:val="nil"/>
              <w:bottom w:val="nil"/>
              <w:right w:val="nil"/>
            </w:tcBorders>
          </w:tcPr>
          <w:p w14:paraId="79CD94D1"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Marshall University</w:t>
            </w:r>
          </w:p>
        </w:tc>
        <w:tc>
          <w:tcPr>
            <w:tcW w:w="1260" w:type="dxa"/>
            <w:tcBorders>
              <w:top w:val="nil"/>
              <w:left w:val="nil"/>
              <w:bottom w:val="nil"/>
              <w:right w:val="nil"/>
            </w:tcBorders>
          </w:tcPr>
          <w:p w14:paraId="5ED3008C"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$65,751,984</w:t>
            </w:r>
          </w:p>
        </w:tc>
        <w:tc>
          <w:tcPr>
            <w:tcW w:w="720" w:type="dxa"/>
            <w:tcBorders>
              <w:top w:val="nil"/>
              <w:left w:val="nil"/>
              <w:bottom w:val="nil"/>
              <w:right w:val="nil"/>
            </w:tcBorders>
          </w:tcPr>
          <w:p w14:paraId="5FC8E6FB"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132,420 </w:t>
            </w:r>
          </w:p>
        </w:tc>
        <w:tc>
          <w:tcPr>
            <w:tcW w:w="630" w:type="dxa"/>
            <w:tcBorders>
              <w:top w:val="nil"/>
              <w:left w:val="nil"/>
              <w:bottom w:val="nil"/>
              <w:right w:val="nil"/>
            </w:tcBorders>
          </w:tcPr>
          <w:p w14:paraId="39520925"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0.1784</w:t>
            </w:r>
          </w:p>
        </w:tc>
        <w:tc>
          <w:tcPr>
            <w:tcW w:w="990" w:type="dxa"/>
            <w:tcBorders>
              <w:top w:val="nil"/>
              <w:left w:val="nil"/>
              <w:bottom w:val="nil"/>
              <w:right w:val="nil"/>
            </w:tcBorders>
          </w:tcPr>
          <w:p w14:paraId="1B35A1BE"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$16,550,038</w:t>
            </w:r>
          </w:p>
        </w:tc>
        <w:tc>
          <w:tcPr>
            <w:tcW w:w="720" w:type="dxa"/>
            <w:tcBorders>
              <w:top w:val="nil"/>
              <w:left w:val="nil"/>
              <w:bottom w:val="nil"/>
              <w:right w:val="nil"/>
            </w:tcBorders>
          </w:tcPr>
          <w:p w14:paraId="738AAC92"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8,750 </w:t>
            </w:r>
          </w:p>
        </w:tc>
        <w:tc>
          <w:tcPr>
            <w:tcW w:w="630" w:type="dxa"/>
            <w:tcBorders>
              <w:top w:val="nil"/>
              <w:left w:val="nil"/>
              <w:bottom w:val="nil"/>
              <w:right w:val="nil"/>
            </w:tcBorders>
          </w:tcPr>
          <w:p w14:paraId="2A0B3FDF"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0.2234</w:t>
            </w:r>
          </w:p>
        </w:tc>
        <w:tc>
          <w:tcPr>
            <w:tcW w:w="990" w:type="dxa"/>
            <w:tcBorders>
              <w:top w:val="nil"/>
              <w:left w:val="nil"/>
              <w:bottom w:val="nil"/>
              <w:right w:val="nil"/>
            </w:tcBorders>
          </w:tcPr>
          <w:p w14:paraId="0C9E17F8"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$20,719,674</w:t>
            </w:r>
          </w:p>
        </w:tc>
        <w:tc>
          <w:tcPr>
            <w:tcW w:w="630" w:type="dxa"/>
            <w:tcBorders>
              <w:top w:val="nil"/>
              <w:left w:val="nil"/>
              <w:bottom w:val="nil"/>
              <w:right w:val="nil"/>
            </w:tcBorders>
          </w:tcPr>
          <w:p w14:paraId="280A4349"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0.2363</w:t>
            </w:r>
          </w:p>
        </w:tc>
        <w:tc>
          <w:tcPr>
            <w:tcW w:w="990" w:type="dxa"/>
            <w:tcBorders>
              <w:top w:val="nil"/>
              <w:left w:val="nil"/>
              <w:bottom w:val="nil"/>
              <w:right w:val="nil"/>
            </w:tcBorders>
          </w:tcPr>
          <w:p w14:paraId="2CC41838"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$28,482,272</w:t>
            </w:r>
          </w:p>
        </w:tc>
        <w:tc>
          <w:tcPr>
            <w:tcW w:w="1080" w:type="dxa"/>
            <w:tcBorders>
              <w:top w:val="nil"/>
              <w:left w:val="nil"/>
              <w:bottom w:val="nil"/>
              <w:right w:val="nil"/>
            </w:tcBorders>
          </w:tcPr>
          <w:p w14:paraId="79E1E7DE"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$65,751,984</w:t>
            </w:r>
          </w:p>
        </w:tc>
      </w:tr>
      <w:tr w:rsidR="00C172C1" w:rsidRPr="00C172C1" w14:paraId="7C4EFB8C" w14:textId="77777777" w:rsidTr="002A0139">
        <w:trPr>
          <w:trHeight w:val="300"/>
        </w:trPr>
        <w:tc>
          <w:tcPr>
            <w:tcW w:w="1854" w:type="dxa"/>
            <w:tcBorders>
              <w:top w:val="nil"/>
              <w:left w:val="nil"/>
              <w:bottom w:val="nil"/>
              <w:right w:val="nil"/>
            </w:tcBorders>
          </w:tcPr>
          <w:p w14:paraId="2C8789BC"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Fairmont State University</w:t>
            </w:r>
          </w:p>
        </w:tc>
        <w:tc>
          <w:tcPr>
            <w:tcW w:w="1260" w:type="dxa"/>
            <w:tcBorders>
              <w:top w:val="nil"/>
              <w:left w:val="nil"/>
              <w:bottom w:val="nil"/>
              <w:right w:val="nil"/>
            </w:tcBorders>
          </w:tcPr>
          <w:p w14:paraId="66BBCBA9"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$16,281,666</w:t>
            </w:r>
          </w:p>
        </w:tc>
        <w:tc>
          <w:tcPr>
            <w:tcW w:w="720" w:type="dxa"/>
            <w:tcBorders>
              <w:top w:val="nil"/>
              <w:left w:val="nil"/>
              <w:bottom w:val="nil"/>
              <w:right w:val="nil"/>
            </w:tcBorders>
          </w:tcPr>
          <w:p w14:paraId="4D80EE7B"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53,925 </w:t>
            </w:r>
          </w:p>
        </w:tc>
        <w:tc>
          <w:tcPr>
            <w:tcW w:w="630" w:type="dxa"/>
            <w:tcBorders>
              <w:top w:val="nil"/>
              <w:left w:val="nil"/>
              <w:bottom w:val="nil"/>
              <w:right w:val="nil"/>
            </w:tcBorders>
          </w:tcPr>
          <w:p w14:paraId="6649C796"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0.0727</w:t>
            </w:r>
          </w:p>
        </w:tc>
        <w:tc>
          <w:tcPr>
            <w:tcW w:w="990" w:type="dxa"/>
            <w:tcBorders>
              <w:top w:val="nil"/>
              <w:left w:val="nil"/>
              <w:bottom w:val="nil"/>
              <w:right w:val="nil"/>
            </w:tcBorders>
          </w:tcPr>
          <w:p w14:paraId="377ABCB4"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$6,739,622</w:t>
            </w:r>
          </w:p>
        </w:tc>
        <w:tc>
          <w:tcPr>
            <w:tcW w:w="720" w:type="dxa"/>
            <w:tcBorders>
              <w:top w:val="nil"/>
              <w:left w:val="nil"/>
              <w:bottom w:val="nil"/>
              <w:right w:val="nil"/>
            </w:tcBorders>
          </w:tcPr>
          <w:p w14:paraId="7AA61EDA"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3,394 </w:t>
            </w:r>
          </w:p>
        </w:tc>
        <w:tc>
          <w:tcPr>
            <w:tcW w:w="630" w:type="dxa"/>
            <w:tcBorders>
              <w:top w:val="nil"/>
              <w:left w:val="nil"/>
              <w:bottom w:val="nil"/>
              <w:right w:val="nil"/>
            </w:tcBorders>
          </w:tcPr>
          <w:p w14:paraId="51FA8CC0"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0.0866</w:t>
            </w:r>
          </w:p>
        </w:tc>
        <w:tc>
          <w:tcPr>
            <w:tcW w:w="990" w:type="dxa"/>
            <w:tcBorders>
              <w:top w:val="nil"/>
              <w:left w:val="nil"/>
              <w:bottom w:val="nil"/>
              <w:right w:val="nil"/>
            </w:tcBorders>
          </w:tcPr>
          <w:p w14:paraId="13F68FD3"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$8,036,866</w:t>
            </w:r>
          </w:p>
        </w:tc>
        <w:tc>
          <w:tcPr>
            <w:tcW w:w="630" w:type="dxa"/>
            <w:tcBorders>
              <w:top w:val="nil"/>
              <w:left w:val="nil"/>
              <w:bottom w:val="nil"/>
              <w:right w:val="nil"/>
            </w:tcBorders>
          </w:tcPr>
          <w:p w14:paraId="74F83E9B"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0.0585</w:t>
            </w:r>
          </w:p>
        </w:tc>
        <w:tc>
          <w:tcPr>
            <w:tcW w:w="990" w:type="dxa"/>
            <w:tcBorders>
              <w:top w:val="nil"/>
              <w:left w:val="nil"/>
              <w:bottom w:val="nil"/>
              <w:right w:val="nil"/>
            </w:tcBorders>
          </w:tcPr>
          <w:p w14:paraId="7286BFE9"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$1,505,178</w:t>
            </w:r>
          </w:p>
        </w:tc>
        <w:tc>
          <w:tcPr>
            <w:tcW w:w="1080" w:type="dxa"/>
            <w:tcBorders>
              <w:top w:val="nil"/>
              <w:left w:val="nil"/>
              <w:bottom w:val="nil"/>
              <w:right w:val="nil"/>
            </w:tcBorders>
          </w:tcPr>
          <w:p w14:paraId="367D345F"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$16,281,666</w:t>
            </w:r>
          </w:p>
        </w:tc>
      </w:tr>
      <w:tr w:rsidR="00C172C1" w:rsidRPr="00C172C1" w14:paraId="5ECEE13B" w14:textId="77777777" w:rsidTr="002A0139">
        <w:trPr>
          <w:trHeight w:val="300"/>
        </w:trPr>
        <w:tc>
          <w:tcPr>
            <w:tcW w:w="1854" w:type="dxa"/>
            <w:tcBorders>
              <w:top w:val="nil"/>
              <w:left w:val="nil"/>
              <w:bottom w:val="nil"/>
              <w:right w:val="nil"/>
            </w:tcBorders>
          </w:tcPr>
          <w:p w14:paraId="7D151E4B"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West Virginia State University</w:t>
            </w:r>
          </w:p>
        </w:tc>
        <w:tc>
          <w:tcPr>
            <w:tcW w:w="1260" w:type="dxa"/>
            <w:tcBorders>
              <w:top w:val="nil"/>
              <w:left w:val="nil"/>
              <w:bottom w:val="nil"/>
              <w:right w:val="nil"/>
            </w:tcBorders>
          </w:tcPr>
          <w:p w14:paraId="2E382DF1"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$12,395,081</w:t>
            </w:r>
          </w:p>
        </w:tc>
        <w:tc>
          <w:tcPr>
            <w:tcW w:w="720" w:type="dxa"/>
            <w:tcBorders>
              <w:top w:val="nil"/>
              <w:left w:val="nil"/>
              <w:bottom w:val="nil"/>
              <w:right w:val="nil"/>
            </w:tcBorders>
          </w:tcPr>
          <w:p w14:paraId="3C47326B"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31,755 </w:t>
            </w:r>
          </w:p>
        </w:tc>
        <w:tc>
          <w:tcPr>
            <w:tcW w:w="630" w:type="dxa"/>
            <w:tcBorders>
              <w:top w:val="nil"/>
              <w:left w:val="nil"/>
              <w:bottom w:val="nil"/>
              <w:right w:val="nil"/>
            </w:tcBorders>
          </w:tcPr>
          <w:p w14:paraId="126611BC"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0.0428</w:t>
            </w:r>
          </w:p>
        </w:tc>
        <w:tc>
          <w:tcPr>
            <w:tcW w:w="990" w:type="dxa"/>
            <w:tcBorders>
              <w:top w:val="nil"/>
              <w:left w:val="nil"/>
              <w:bottom w:val="nil"/>
              <w:right w:val="nil"/>
            </w:tcBorders>
          </w:tcPr>
          <w:p w14:paraId="70C30B1F"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$3,968,785</w:t>
            </w:r>
          </w:p>
        </w:tc>
        <w:tc>
          <w:tcPr>
            <w:tcW w:w="720" w:type="dxa"/>
            <w:tcBorders>
              <w:top w:val="nil"/>
              <w:left w:val="nil"/>
              <w:bottom w:val="nil"/>
              <w:right w:val="nil"/>
            </w:tcBorders>
          </w:tcPr>
          <w:p w14:paraId="058E9C73"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1,918 </w:t>
            </w:r>
          </w:p>
        </w:tc>
        <w:tc>
          <w:tcPr>
            <w:tcW w:w="630" w:type="dxa"/>
            <w:tcBorders>
              <w:top w:val="nil"/>
              <w:left w:val="nil"/>
              <w:bottom w:val="nil"/>
              <w:right w:val="nil"/>
            </w:tcBorders>
          </w:tcPr>
          <w:p w14:paraId="4B14A8BD"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0.0490</w:t>
            </w:r>
          </w:p>
        </w:tc>
        <w:tc>
          <w:tcPr>
            <w:tcW w:w="990" w:type="dxa"/>
            <w:tcBorders>
              <w:top w:val="nil"/>
              <w:left w:val="nil"/>
              <w:bottom w:val="nil"/>
              <w:right w:val="nil"/>
            </w:tcBorders>
          </w:tcPr>
          <w:p w14:paraId="729A4701"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$4,541,753</w:t>
            </w:r>
          </w:p>
        </w:tc>
        <w:tc>
          <w:tcPr>
            <w:tcW w:w="630" w:type="dxa"/>
            <w:tcBorders>
              <w:top w:val="nil"/>
              <w:left w:val="nil"/>
              <w:bottom w:val="nil"/>
              <w:right w:val="nil"/>
            </w:tcBorders>
          </w:tcPr>
          <w:p w14:paraId="23A2E43B"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0.0445</w:t>
            </w:r>
          </w:p>
        </w:tc>
        <w:tc>
          <w:tcPr>
            <w:tcW w:w="990" w:type="dxa"/>
            <w:tcBorders>
              <w:top w:val="nil"/>
              <w:left w:val="nil"/>
              <w:bottom w:val="nil"/>
              <w:right w:val="nil"/>
            </w:tcBorders>
          </w:tcPr>
          <w:p w14:paraId="3B1A7071"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$3,884,544</w:t>
            </w:r>
          </w:p>
        </w:tc>
        <w:tc>
          <w:tcPr>
            <w:tcW w:w="1080" w:type="dxa"/>
            <w:tcBorders>
              <w:top w:val="nil"/>
              <w:left w:val="nil"/>
              <w:bottom w:val="nil"/>
              <w:right w:val="nil"/>
            </w:tcBorders>
          </w:tcPr>
          <w:p w14:paraId="0058840F"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$12,395,081</w:t>
            </w:r>
          </w:p>
        </w:tc>
      </w:tr>
      <w:tr w:rsidR="00C172C1" w:rsidRPr="00C172C1" w14:paraId="19C93ACB" w14:textId="77777777" w:rsidTr="002A0139">
        <w:trPr>
          <w:trHeight w:val="300"/>
        </w:trPr>
        <w:tc>
          <w:tcPr>
            <w:tcW w:w="1854" w:type="dxa"/>
            <w:tcBorders>
              <w:top w:val="nil"/>
              <w:left w:val="nil"/>
              <w:bottom w:val="nil"/>
              <w:right w:val="nil"/>
            </w:tcBorders>
          </w:tcPr>
          <w:p w14:paraId="41A36D9A"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Shepherd University</w:t>
            </w:r>
          </w:p>
        </w:tc>
        <w:tc>
          <w:tcPr>
            <w:tcW w:w="1260" w:type="dxa"/>
            <w:tcBorders>
              <w:top w:val="nil"/>
              <w:left w:val="nil"/>
              <w:bottom w:val="nil"/>
              <w:right w:val="nil"/>
            </w:tcBorders>
          </w:tcPr>
          <w:p w14:paraId="35B074A7"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$10,224,351</w:t>
            </w:r>
          </w:p>
        </w:tc>
        <w:tc>
          <w:tcPr>
            <w:tcW w:w="720" w:type="dxa"/>
            <w:tcBorders>
              <w:top w:val="nil"/>
              <w:left w:val="nil"/>
              <w:bottom w:val="nil"/>
              <w:right w:val="nil"/>
            </w:tcBorders>
          </w:tcPr>
          <w:p w14:paraId="4D77FDFD"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53,910 </w:t>
            </w:r>
          </w:p>
        </w:tc>
        <w:tc>
          <w:tcPr>
            <w:tcW w:w="630" w:type="dxa"/>
            <w:tcBorders>
              <w:top w:val="nil"/>
              <w:left w:val="nil"/>
              <w:bottom w:val="nil"/>
              <w:right w:val="nil"/>
            </w:tcBorders>
          </w:tcPr>
          <w:p w14:paraId="0F57AC27"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0.0726</w:t>
            </w:r>
          </w:p>
        </w:tc>
        <w:tc>
          <w:tcPr>
            <w:tcW w:w="990" w:type="dxa"/>
            <w:tcBorders>
              <w:top w:val="nil"/>
              <w:left w:val="nil"/>
              <w:bottom w:val="nil"/>
              <w:right w:val="nil"/>
            </w:tcBorders>
          </w:tcPr>
          <w:p w14:paraId="31741475"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$6,737,748</w:t>
            </w:r>
          </w:p>
        </w:tc>
        <w:tc>
          <w:tcPr>
            <w:tcW w:w="720" w:type="dxa"/>
            <w:tcBorders>
              <w:top w:val="nil"/>
              <w:left w:val="nil"/>
              <w:bottom w:val="nil"/>
              <w:right w:val="nil"/>
            </w:tcBorders>
          </w:tcPr>
          <w:p w14:paraId="4D41A07F"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3,685 </w:t>
            </w:r>
          </w:p>
        </w:tc>
        <w:tc>
          <w:tcPr>
            <w:tcW w:w="630" w:type="dxa"/>
            <w:tcBorders>
              <w:top w:val="nil"/>
              <w:left w:val="nil"/>
              <w:bottom w:val="nil"/>
              <w:right w:val="nil"/>
            </w:tcBorders>
          </w:tcPr>
          <w:p w14:paraId="69B719BA"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0.0941</w:t>
            </w:r>
          </w:p>
        </w:tc>
        <w:tc>
          <w:tcPr>
            <w:tcW w:w="990" w:type="dxa"/>
            <w:tcBorders>
              <w:top w:val="nil"/>
              <w:left w:val="nil"/>
              <w:bottom w:val="nil"/>
              <w:right w:val="nil"/>
            </w:tcBorders>
          </w:tcPr>
          <w:p w14:paraId="3062DC7F"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$8,725,943</w:t>
            </w:r>
          </w:p>
        </w:tc>
        <w:tc>
          <w:tcPr>
            <w:tcW w:w="630" w:type="dxa"/>
            <w:tcBorders>
              <w:top w:val="nil"/>
              <w:left w:val="nil"/>
              <w:bottom w:val="nil"/>
              <w:right w:val="nil"/>
            </w:tcBorders>
          </w:tcPr>
          <w:p w14:paraId="5BB1CB80"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0.0367</w:t>
            </w:r>
          </w:p>
        </w:tc>
        <w:tc>
          <w:tcPr>
            <w:tcW w:w="990" w:type="dxa"/>
            <w:tcBorders>
              <w:top w:val="nil"/>
              <w:left w:val="nil"/>
              <w:bottom w:val="nil"/>
              <w:right w:val="nil"/>
            </w:tcBorders>
          </w:tcPr>
          <w:p w14:paraId="4ED8E5C2"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-$5,239,339</w:t>
            </w:r>
          </w:p>
        </w:tc>
        <w:tc>
          <w:tcPr>
            <w:tcW w:w="1080" w:type="dxa"/>
            <w:tcBorders>
              <w:top w:val="nil"/>
              <w:left w:val="nil"/>
              <w:bottom w:val="nil"/>
              <w:right w:val="nil"/>
            </w:tcBorders>
          </w:tcPr>
          <w:p w14:paraId="71F331C5"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$10,224,351</w:t>
            </w:r>
          </w:p>
        </w:tc>
      </w:tr>
      <w:tr w:rsidR="00C172C1" w:rsidRPr="00C172C1" w14:paraId="3850F98E" w14:textId="77777777" w:rsidTr="002A0139">
        <w:trPr>
          <w:trHeight w:val="300"/>
        </w:trPr>
        <w:tc>
          <w:tcPr>
            <w:tcW w:w="1854" w:type="dxa"/>
            <w:tcBorders>
              <w:top w:val="nil"/>
              <w:left w:val="nil"/>
              <w:bottom w:val="nil"/>
              <w:right w:val="nil"/>
            </w:tcBorders>
          </w:tcPr>
          <w:p w14:paraId="57E14AB2"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Concord University</w:t>
            </w:r>
          </w:p>
        </w:tc>
        <w:tc>
          <w:tcPr>
            <w:tcW w:w="1260" w:type="dxa"/>
            <w:tcBorders>
              <w:top w:val="nil"/>
              <w:left w:val="nil"/>
              <w:bottom w:val="nil"/>
              <w:right w:val="nil"/>
            </w:tcBorders>
          </w:tcPr>
          <w:p w14:paraId="78FB7D68"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$9,294,046</w:t>
            </w:r>
          </w:p>
        </w:tc>
        <w:tc>
          <w:tcPr>
            <w:tcW w:w="720" w:type="dxa"/>
            <w:tcBorders>
              <w:top w:val="nil"/>
              <w:left w:val="nil"/>
              <w:bottom w:val="nil"/>
              <w:right w:val="nil"/>
            </w:tcBorders>
          </w:tcPr>
          <w:p w14:paraId="6306EA74"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36,210 </w:t>
            </w:r>
          </w:p>
        </w:tc>
        <w:tc>
          <w:tcPr>
            <w:tcW w:w="630" w:type="dxa"/>
            <w:tcBorders>
              <w:top w:val="nil"/>
              <w:left w:val="nil"/>
              <w:bottom w:val="nil"/>
              <w:right w:val="nil"/>
            </w:tcBorders>
          </w:tcPr>
          <w:p w14:paraId="1B5D3EBB"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0.0488</w:t>
            </w:r>
          </w:p>
        </w:tc>
        <w:tc>
          <w:tcPr>
            <w:tcW w:w="990" w:type="dxa"/>
            <w:tcBorders>
              <w:top w:val="nil"/>
              <w:left w:val="nil"/>
              <w:bottom w:val="nil"/>
              <w:right w:val="nil"/>
            </w:tcBorders>
          </w:tcPr>
          <w:p w14:paraId="633C568F"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$4,525,577</w:t>
            </w:r>
          </w:p>
        </w:tc>
        <w:tc>
          <w:tcPr>
            <w:tcW w:w="720" w:type="dxa"/>
            <w:tcBorders>
              <w:top w:val="nil"/>
              <w:left w:val="nil"/>
              <w:bottom w:val="nil"/>
              <w:right w:val="nil"/>
            </w:tcBorders>
          </w:tcPr>
          <w:p w14:paraId="1CD1A8DB"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2,128 </w:t>
            </w:r>
          </w:p>
        </w:tc>
        <w:tc>
          <w:tcPr>
            <w:tcW w:w="630" w:type="dxa"/>
            <w:tcBorders>
              <w:top w:val="nil"/>
              <w:left w:val="nil"/>
              <w:bottom w:val="nil"/>
              <w:right w:val="nil"/>
            </w:tcBorders>
          </w:tcPr>
          <w:p w14:paraId="3247AB88"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0.0543</w:t>
            </w:r>
          </w:p>
        </w:tc>
        <w:tc>
          <w:tcPr>
            <w:tcW w:w="990" w:type="dxa"/>
            <w:tcBorders>
              <w:top w:val="nil"/>
              <w:left w:val="nil"/>
              <w:bottom w:val="nil"/>
              <w:right w:val="nil"/>
            </w:tcBorders>
          </w:tcPr>
          <w:p w14:paraId="028C4F4F"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$5,039,025</w:t>
            </w:r>
          </w:p>
        </w:tc>
        <w:tc>
          <w:tcPr>
            <w:tcW w:w="630" w:type="dxa"/>
            <w:tcBorders>
              <w:top w:val="nil"/>
              <w:left w:val="nil"/>
              <w:bottom w:val="nil"/>
              <w:right w:val="nil"/>
            </w:tcBorders>
          </w:tcPr>
          <w:p w14:paraId="5BCB4770"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0.0334</w:t>
            </w:r>
          </w:p>
        </w:tc>
        <w:tc>
          <w:tcPr>
            <w:tcW w:w="990" w:type="dxa"/>
            <w:tcBorders>
              <w:top w:val="nil"/>
              <w:left w:val="nil"/>
              <w:bottom w:val="nil"/>
              <w:right w:val="nil"/>
            </w:tcBorders>
          </w:tcPr>
          <w:p w14:paraId="2080874E"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-$270,555</w:t>
            </w:r>
          </w:p>
        </w:tc>
        <w:tc>
          <w:tcPr>
            <w:tcW w:w="1080" w:type="dxa"/>
            <w:tcBorders>
              <w:top w:val="nil"/>
              <w:left w:val="nil"/>
              <w:bottom w:val="nil"/>
              <w:right w:val="nil"/>
            </w:tcBorders>
          </w:tcPr>
          <w:p w14:paraId="7DD3903A"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$9,294,046</w:t>
            </w:r>
          </w:p>
        </w:tc>
      </w:tr>
      <w:tr w:rsidR="00C172C1" w:rsidRPr="00C172C1" w14:paraId="3C53129C" w14:textId="77777777" w:rsidTr="002A0139">
        <w:trPr>
          <w:trHeight w:val="300"/>
        </w:trPr>
        <w:tc>
          <w:tcPr>
            <w:tcW w:w="1854" w:type="dxa"/>
            <w:tcBorders>
              <w:top w:val="nil"/>
              <w:left w:val="nil"/>
              <w:bottom w:val="nil"/>
              <w:right w:val="nil"/>
            </w:tcBorders>
          </w:tcPr>
          <w:p w14:paraId="1582996D"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West Liberty University</w:t>
            </w:r>
          </w:p>
        </w:tc>
        <w:tc>
          <w:tcPr>
            <w:tcW w:w="1260" w:type="dxa"/>
            <w:tcBorders>
              <w:top w:val="nil"/>
              <w:left w:val="nil"/>
              <w:bottom w:val="nil"/>
              <w:right w:val="nil"/>
            </w:tcBorders>
          </w:tcPr>
          <w:p w14:paraId="4E44A019"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$8,488,844</w:t>
            </w:r>
          </w:p>
        </w:tc>
        <w:tc>
          <w:tcPr>
            <w:tcW w:w="720" w:type="dxa"/>
            <w:tcBorders>
              <w:top w:val="nil"/>
              <w:left w:val="nil"/>
              <w:bottom w:val="nil"/>
              <w:right w:val="nil"/>
            </w:tcBorders>
          </w:tcPr>
          <w:p w14:paraId="39BEAD15"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37,770 </w:t>
            </w:r>
          </w:p>
        </w:tc>
        <w:tc>
          <w:tcPr>
            <w:tcW w:w="630" w:type="dxa"/>
            <w:tcBorders>
              <w:top w:val="nil"/>
              <w:left w:val="nil"/>
              <w:bottom w:val="nil"/>
              <w:right w:val="nil"/>
            </w:tcBorders>
          </w:tcPr>
          <w:p w14:paraId="6302DBD6"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0.0509</w:t>
            </w:r>
          </w:p>
        </w:tc>
        <w:tc>
          <w:tcPr>
            <w:tcW w:w="990" w:type="dxa"/>
            <w:tcBorders>
              <w:top w:val="nil"/>
              <w:left w:val="nil"/>
              <w:bottom w:val="nil"/>
              <w:right w:val="nil"/>
            </w:tcBorders>
          </w:tcPr>
          <w:p w14:paraId="7FB89F71"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$4,720,548</w:t>
            </w:r>
          </w:p>
        </w:tc>
        <w:tc>
          <w:tcPr>
            <w:tcW w:w="720" w:type="dxa"/>
            <w:tcBorders>
              <w:top w:val="nil"/>
              <w:left w:val="nil"/>
              <w:bottom w:val="nil"/>
              <w:right w:val="nil"/>
            </w:tcBorders>
          </w:tcPr>
          <w:p w14:paraId="68C9B82C"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1,786 </w:t>
            </w:r>
          </w:p>
        </w:tc>
        <w:tc>
          <w:tcPr>
            <w:tcW w:w="630" w:type="dxa"/>
            <w:tcBorders>
              <w:top w:val="nil"/>
              <w:left w:val="nil"/>
              <w:bottom w:val="nil"/>
              <w:right w:val="nil"/>
            </w:tcBorders>
          </w:tcPr>
          <w:p w14:paraId="1DAB4F38"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0.0456</w:t>
            </w:r>
          </w:p>
        </w:tc>
        <w:tc>
          <w:tcPr>
            <w:tcW w:w="990" w:type="dxa"/>
            <w:tcBorders>
              <w:top w:val="nil"/>
              <w:left w:val="nil"/>
              <w:bottom w:val="nil"/>
              <w:right w:val="nil"/>
            </w:tcBorders>
          </w:tcPr>
          <w:p w14:paraId="500AEC03"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$4,229,182</w:t>
            </w:r>
          </w:p>
        </w:tc>
        <w:tc>
          <w:tcPr>
            <w:tcW w:w="630" w:type="dxa"/>
            <w:tcBorders>
              <w:top w:val="nil"/>
              <w:left w:val="nil"/>
              <w:bottom w:val="nil"/>
              <w:right w:val="nil"/>
            </w:tcBorders>
          </w:tcPr>
          <w:p w14:paraId="4E0D12AB"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0.0305</w:t>
            </w:r>
          </w:p>
        </w:tc>
        <w:tc>
          <w:tcPr>
            <w:tcW w:w="990" w:type="dxa"/>
            <w:tcBorders>
              <w:top w:val="nil"/>
              <w:left w:val="nil"/>
              <w:bottom w:val="nil"/>
              <w:right w:val="nil"/>
            </w:tcBorders>
          </w:tcPr>
          <w:p w14:paraId="66921352"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-$460,885</w:t>
            </w:r>
          </w:p>
        </w:tc>
        <w:tc>
          <w:tcPr>
            <w:tcW w:w="1080" w:type="dxa"/>
            <w:tcBorders>
              <w:top w:val="nil"/>
              <w:left w:val="nil"/>
              <w:bottom w:val="nil"/>
              <w:right w:val="nil"/>
            </w:tcBorders>
          </w:tcPr>
          <w:p w14:paraId="0CFC0B88"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$8,488,844</w:t>
            </w:r>
          </w:p>
        </w:tc>
      </w:tr>
      <w:tr w:rsidR="00C172C1" w:rsidRPr="00C172C1" w14:paraId="00CB9E68" w14:textId="77777777" w:rsidTr="002A0139">
        <w:trPr>
          <w:trHeight w:val="300"/>
        </w:trPr>
        <w:tc>
          <w:tcPr>
            <w:tcW w:w="1854" w:type="dxa"/>
            <w:tcBorders>
              <w:top w:val="nil"/>
              <w:left w:val="nil"/>
              <w:bottom w:val="nil"/>
              <w:right w:val="nil"/>
            </w:tcBorders>
          </w:tcPr>
          <w:p w14:paraId="59FDB8F8"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Glenville State College</w:t>
            </w:r>
          </w:p>
        </w:tc>
        <w:tc>
          <w:tcPr>
            <w:tcW w:w="1260" w:type="dxa"/>
            <w:tcBorders>
              <w:top w:val="nil"/>
              <w:left w:val="nil"/>
              <w:bottom w:val="nil"/>
              <w:right w:val="nil"/>
            </w:tcBorders>
          </w:tcPr>
          <w:p w14:paraId="75ADFB2D"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$6,489,479</w:t>
            </w:r>
          </w:p>
        </w:tc>
        <w:tc>
          <w:tcPr>
            <w:tcW w:w="720" w:type="dxa"/>
            <w:tcBorders>
              <w:top w:val="nil"/>
              <w:left w:val="nil"/>
              <w:bottom w:val="nil"/>
              <w:right w:val="nil"/>
            </w:tcBorders>
          </w:tcPr>
          <w:p w14:paraId="2E89DB92"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20,816 </w:t>
            </w:r>
          </w:p>
        </w:tc>
        <w:tc>
          <w:tcPr>
            <w:tcW w:w="630" w:type="dxa"/>
            <w:tcBorders>
              <w:top w:val="nil"/>
              <w:left w:val="nil"/>
              <w:bottom w:val="nil"/>
              <w:right w:val="nil"/>
            </w:tcBorders>
          </w:tcPr>
          <w:p w14:paraId="79B92B01"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0.0280</w:t>
            </w:r>
          </w:p>
        </w:tc>
        <w:tc>
          <w:tcPr>
            <w:tcW w:w="990" w:type="dxa"/>
            <w:tcBorders>
              <w:top w:val="nil"/>
              <w:left w:val="nil"/>
              <w:bottom w:val="nil"/>
              <w:right w:val="nil"/>
            </w:tcBorders>
          </w:tcPr>
          <w:p w14:paraId="4FB3C3B1"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$2,601,613</w:t>
            </w:r>
          </w:p>
        </w:tc>
        <w:tc>
          <w:tcPr>
            <w:tcW w:w="720" w:type="dxa"/>
            <w:tcBorders>
              <w:top w:val="nil"/>
              <w:left w:val="nil"/>
              <w:bottom w:val="nil"/>
              <w:right w:val="nil"/>
            </w:tcBorders>
          </w:tcPr>
          <w:p w14:paraId="3E6740BB"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1,036 </w:t>
            </w:r>
          </w:p>
        </w:tc>
        <w:tc>
          <w:tcPr>
            <w:tcW w:w="630" w:type="dxa"/>
            <w:tcBorders>
              <w:top w:val="nil"/>
              <w:left w:val="nil"/>
              <w:bottom w:val="nil"/>
              <w:right w:val="nil"/>
            </w:tcBorders>
          </w:tcPr>
          <w:p w14:paraId="1A2B2133"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0.0264</w:t>
            </w:r>
          </w:p>
        </w:tc>
        <w:tc>
          <w:tcPr>
            <w:tcW w:w="990" w:type="dxa"/>
            <w:tcBorders>
              <w:top w:val="nil"/>
              <w:left w:val="nil"/>
              <w:bottom w:val="nil"/>
              <w:right w:val="nil"/>
            </w:tcBorders>
          </w:tcPr>
          <w:p w14:paraId="03A55E26"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$2,453,209</w:t>
            </w:r>
          </w:p>
        </w:tc>
        <w:tc>
          <w:tcPr>
            <w:tcW w:w="630" w:type="dxa"/>
            <w:tcBorders>
              <w:top w:val="nil"/>
              <w:left w:val="nil"/>
              <w:bottom w:val="nil"/>
              <w:right w:val="nil"/>
            </w:tcBorders>
          </w:tcPr>
          <w:p w14:paraId="7A198941"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0.0233</w:t>
            </w:r>
          </w:p>
        </w:tc>
        <w:tc>
          <w:tcPr>
            <w:tcW w:w="990" w:type="dxa"/>
            <w:tcBorders>
              <w:top w:val="nil"/>
              <w:left w:val="nil"/>
              <w:bottom w:val="nil"/>
              <w:right w:val="nil"/>
            </w:tcBorders>
          </w:tcPr>
          <w:p w14:paraId="40B37E52"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$1,434,657</w:t>
            </w:r>
          </w:p>
        </w:tc>
        <w:tc>
          <w:tcPr>
            <w:tcW w:w="1080" w:type="dxa"/>
            <w:tcBorders>
              <w:top w:val="nil"/>
              <w:left w:val="nil"/>
              <w:bottom w:val="nil"/>
              <w:right w:val="nil"/>
            </w:tcBorders>
          </w:tcPr>
          <w:p w14:paraId="4101E56F"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$6,489,479</w:t>
            </w:r>
          </w:p>
        </w:tc>
      </w:tr>
      <w:tr w:rsidR="00C172C1" w:rsidRPr="00C172C1" w14:paraId="1225C71B" w14:textId="77777777" w:rsidTr="002A0139">
        <w:trPr>
          <w:trHeight w:val="300"/>
        </w:trPr>
        <w:tc>
          <w:tcPr>
            <w:tcW w:w="1854" w:type="dxa"/>
            <w:tcBorders>
              <w:top w:val="nil"/>
              <w:left w:val="nil"/>
              <w:bottom w:val="nil"/>
              <w:right w:val="nil"/>
            </w:tcBorders>
          </w:tcPr>
          <w:p w14:paraId="1E88AF69"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Bluefield State College</w:t>
            </w:r>
          </w:p>
        </w:tc>
        <w:tc>
          <w:tcPr>
            <w:tcW w:w="1260" w:type="dxa"/>
            <w:tcBorders>
              <w:top w:val="nil"/>
              <w:left w:val="nil"/>
              <w:bottom w:val="nil"/>
              <w:right w:val="nil"/>
            </w:tcBorders>
          </w:tcPr>
          <w:p w14:paraId="7CBE0863"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$6,003,814</w:t>
            </w:r>
          </w:p>
        </w:tc>
        <w:tc>
          <w:tcPr>
            <w:tcW w:w="720" w:type="dxa"/>
            <w:tcBorders>
              <w:top w:val="nil"/>
              <w:left w:val="nil"/>
              <w:bottom w:val="nil"/>
              <w:right w:val="nil"/>
            </w:tcBorders>
          </w:tcPr>
          <w:p w14:paraId="2154C0FB"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23,520 </w:t>
            </w:r>
          </w:p>
        </w:tc>
        <w:tc>
          <w:tcPr>
            <w:tcW w:w="630" w:type="dxa"/>
            <w:tcBorders>
              <w:top w:val="nil"/>
              <w:left w:val="nil"/>
              <w:bottom w:val="nil"/>
              <w:right w:val="nil"/>
            </w:tcBorders>
          </w:tcPr>
          <w:p w14:paraId="4B7C148E"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0.0317</w:t>
            </w:r>
          </w:p>
        </w:tc>
        <w:tc>
          <w:tcPr>
            <w:tcW w:w="990" w:type="dxa"/>
            <w:tcBorders>
              <w:top w:val="nil"/>
              <w:left w:val="nil"/>
              <w:bottom w:val="nil"/>
              <w:right w:val="nil"/>
            </w:tcBorders>
          </w:tcPr>
          <w:p w14:paraId="722D6E57"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$2,939,563</w:t>
            </w:r>
          </w:p>
        </w:tc>
        <w:tc>
          <w:tcPr>
            <w:tcW w:w="720" w:type="dxa"/>
            <w:tcBorders>
              <w:top w:val="nil"/>
              <w:left w:val="nil"/>
              <w:bottom w:val="nil"/>
              <w:right w:val="nil"/>
            </w:tcBorders>
          </w:tcPr>
          <w:p w14:paraId="53EEE8E1"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1,350 </w:t>
            </w:r>
          </w:p>
        </w:tc>
        <w:tc>
          <w:tcPr>
            <w:tcW w:w="630" w:type="dxa"/>
            <w:tcBorders>
              <w:top w:val="nil"/>
              <w:left w:val="nil"/>
              <w:bottom w:val="nil"/>
              <w:right w:val="nil"/>
            </w:tcBorders>
          </w:tcPr>
          <w:p w14:paraId="0F68E186"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0.0345</w:t>
            </w:r>
          </w:p>
        </w:tc>
        <w:tc>
          <w:tcPr>
            <w:tcW w:w="990" w:type="dxa"/>
            <w:tcBorders>
              <w:top w:val="nil"/>
              <w:left w:val="nil"/>
              <w:bottom w:val="nil"/>
              <w:right w:val="nil"/>
            </w:tcBorders>
          </w:tcPr>
          <w:p w14:paraId="45A086BB"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$3,196,750</w:t>
            </w:r>
          </w:p>
        </w:tc>
        <w:tc>
          <w:tcPr>
            <w:tcW w:w="630" w:type="dxa"/>
            <w:tcBorders>
              <w:top w:val="nil"/>
              <w:left w:val="nil"/>
              <w:bottom w:val="nil"/>
              <w:right w:val="nil"/>
            </w:tcBorders>
          </w:tcPr>
          <w:p w14:paraId="3A5D7E7D"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0.0216</w:t>
            </w:r>
          </w:p>
        </w:tc>
        <w:tc>
          <w:tcPr>
            <w:tcW w:w="990" w:type="dxa"/>
            <w:tcBorders>
              <w:top w:val="nil"/>
              <w:left w:val="nil"/>
              <w:bottom w:val="nil"/>
              <w:right w:val="nil"/>
            </w:tcBorders>
          </w:tcPr>
          <w:p w14:paraId="2FCA50FC"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-$132,498</w:t>
            </w:r>
          </w:p>
        </w:tc>
        <w:tc>
          <w:tcPr>
            <w:tcW w:w="1080" w:type="dxa"/>
            <w:tcBorders>
              <w:top w:val="nil"/>
              <w:left w:val="nil"/>
              <w:bottom w:val="nil"/>
              <w:right w:val="nil"/>
            </w:tcBorders>
          </w:tcPr>
          <w:p w14:paraId="7F91A9A3"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$6,003,814</w:t>
            </w:r>
          </w:p>
        </w:tc>
      </w:tr>
      <w:tr w:rsidR="00C172C1" w:rsidRPr="00C172C1" w14:paraId="48D48CFB" w14:textId="77777777" w:rsidTr="002A0139">
        <w:trPr>
          <w:trHeight w:val="300"/>
        </w:trPr>
        <w:tc>
          <w:tcPr>
            <w:tcW w:w="1854" w:type="dxa"/>
            <w:tcBorders>
              <w:top w:val="nil"/>
              <w:left w:val="nil"/>
              <w:bottom w:val="nil"/>
              <w:right w:val="nil"/>
            </w:tcBorders>
          </w:tcPr>
          <w:p w14:paraId="4E541812"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WVU-Tech</w:t>
            </w:r>
          </w:p>
        </w:tc>
        <w:tc>
          <w:tcPr>
            <w:tcW w:w="1260" w:type="dxa"/>
            <w:tcBorders>
              <w:top w:val="nil"/>
              <w:left w:val="nil"/>
              <w:bottom w:val="nil"/>
              <w:right w:val="nil"/>
            </w:tcBorders>
          </w:tcPr>
          <w:p w14:paraId="0B2C4C66"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$8,620,982</w:t>
            </w:r>
          </w:p>
        </w:tc>
        <w:tc>
          <w:tcPr>
            <w:tcW w:w="720" w:type="dxa"/>
            <w:tcBorders>
              <w:top w:val="nil"/>
              <w:left w:val="nil"/>
              <w:bottom w:val="nil"/>
              <w:right w:val="nil"/>
            </w:tcBorders>
          </w:tcPr>
          <w:p w14:paraId="3D7BA113"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15,870 </w:t>
            </w:r>
          </w:p>
        </w:tc>
        <w:tc>
          <w:tcPr>
            <w:tcW w:w="630" w:type="dxa"/>
            <w:tcBorders>
              <w:top w:val="nil"/>
              <w:left w:val="nil"/>
              <w:bottom w:val="nil"/>
              <w:right w:val="nil"/>
            </w:tcBorders>
          </w:tcPr>
          <w:p w14:paraId="4ADF1C56"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0.0214</w:t>
            </w:r>
          </w:p>
        </w:tc>
        <w:tc>
          <w:tcPr>
            <w:tcW w:w="990" w:type="dxa"/>
            <w:tcBorders>
              <w:top w:val="nil"/>
              <w:left w:val="nil"/>
              <w:bottom w:val="nil"/>
              <w:right w:val="nil"/>
            </w:tcBorders>
          </w:tcPr>
          <w:p w14:paraId="6C4EDF30"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$1,983,455</w:t>
            </w:r>
          </w:p>
        </w:tc>
        <w:tc>
          <w:tcPr>
            <w:tcW w:w="720" w:type="dxa"/>
            <w:tcBorders>
              <w:top w:val="nil"/>
              <w:left w:val="nil"/>
              <w:bottom w:val="nil"/>
              <w:right w:val="nil"/>
            </w:tcBorders>
          </w:tcPr>
          <w:p w14:paraId="28D52D60"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803 </w:t>
            </w:r>
          </w:p>
        </w:tc>
        <w:tc>
          <w:tcPr>
            <w:tcW w:w="630" w:type="dxa"/>
            <w:tcBorders>
              <w:top w:val="nil"/>
              <w:left w:val="nil"/>
              <w:bottom w:val="nil"/>
              <w:right w:val="nil"/>
            </w:tcBorders>
          </w:tcPr>
          <w:p w14:paraId="153A75F3"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0.0205</w:t>
            </w:r>
          </w:p>
        </w:tc>
        <w:tc>
          <w:tcPr>
            <w:tcW w:w="990" w:type="dxa"/>
            <w:tcBorders>
              <w:top w:val="nil"/>
              <w:left w:val="nil"/>
              <w:bottom w:val="nil"/>
              <w:right w:val="nil"/>
            </w:tcBorders>
          </w:tcPr>
          <w:p w14:paraId="7ECB95FC"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$1,901,474</w:t>
            </w:r>
          </w:p>
        </w:tc>
        <w:tc>
          <w:tcPr>
            <w:tcW w:w="630" w:type="dxa"/>
            <w:tcBorders>
              <w:top w:val="nil"/>
              <w:left w:val="nil"/>
              <w:bottom w:val="nil"/>
              <w:right w:val="nil"/>
            </w:tcBorders>
          </w:tcPr>
          <w:p w14:paraId="6345D2EA"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0.0310</w:t>
            </w:r>
          </w:p>
        </w:tc>
        <w:tc>
          <w:tcPr>
            <w:tcW w:w="990" w:type="dxa"/>
            <w:tcBorders>
              <w:top w:val="nil"/>
              <w:left w:val="nil"/>
              <w:bottom w:val="nil"/>
              <w:right w:val="nil"/>
            </w:tcBorders>
          </w:tcPr>
          <w:p w14:paraId="08B94A48"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$4,736,053</w:t>
            </w:r>
          </w:p>
        </w:tc>
        <w:tc>
          <w:tcPr>
            <w:tcW w:w="1080" w:type="dxa"/>
            <w:tcBorders>
              <w:top w:val="nil"/>
              <w:left w:val="nil"/>
              <w:bottom w:val="nil"/>
              <w:right w:val="nil"/>
            </w:tcBorders>
          </w:tcPr>
          <w:p w14:paraId="47635584"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$8,620,982</w:t>
            </w:r>
          </w:p>
        </w:tc>
      </w:tr>
      <w:tr w:rsidR="00C172C1" w:rsidRPr="00C172C1" w14:paraId="76FE5FD9" w14:textId="77777777" w:rsidTr="002A0139">
        <w:trPr>
          <w:trHeight w:val="300"/>
        </w:trPr>
        <w:tc>
          <w:tcPr>
            <w:tcW w:w="1854" w:type="dxa"/>
            <w:tcBorders>
              <w:top w:val="nil"/>
              <w:left w:val="nil"/>
              <w:bottom w:val="nil"/>
              <w:right w:val="nil"/>
            </w:tcBorders>
          </w:tcPr>
          <w:p w14:paraId="1D3165D5"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1260" w:type="dxa"/>
            <w:tcBorders>
              <w:top w:val="nil"/>
              <w:left w:val="nil"/>
              <w:bottom w:val="nil"/>
              <w:right w:val="nil"/>
            </w:tcBorders>
          </w:tcPr>
          <w:p w14:paraId="0B1C5E65"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5A5DFD24"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62C52D9C"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4173AA37"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0D55D314"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308F6A9A"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08F9629A"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62485A73"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0CC2E9F0"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1080" w:type="dxa"/>
            <w:tcBorders>
              <w:top w:val="nil"/>
              <w:left w:val="nil"/>
              <w:bottom w:val="nil"/>
              <w:right w:val="nil"/>
            </w:tcBorders>
          </w:tcPr>
          <w:p w14:paraId="2C954ED7" w14:textId="77777777" w:rsidR="00C172C1" w:rsidRPr="00C172C1" w:rsidRDefault="00C172C1">
            <w:pPr>
              <w:widowControl w:val="0"/>
              <w:autoSpaceDE w:val="0"/>
              <w:autoSpaceDN w:val="0"/>
              <w:adjustRightInd w:val="0"/>
              <w:rPr>
                <w:rFonts w:ascii="Calibri" w:hAnsi="Calibri" w:cs="Calibri"/>
                <w:color w:val="000000"/>
                <w:sz w:val="16"/>
                <w:szCs w:val="16"/>
              </w:rPr>
            </w:pPr>
          </w:p>
        </w:tc>
      </w:tr>
      <w:tr w:rsidR="00C172C1" w:rsidRPr="00C172C1" w14:paraId="5500468A" w14:textId="77777777" w:rsidTr="002A0139">
        <w:trPr>
          <w:trHeight w:val="300"/>
        </w:trPr>
        <w:tc>
          <w:tcPr>
            <w:tcW w:w="1854" w:type="dxa"/>
            <w:tcBorders>
              <w:top w:val="nil"/>
              <w:left w:val="nil"/>
              <w:bottom w:val="nil"/>
              <w:right w:val="nil"/>
            </w:tcBorders>
          </w:tcPr>
          <w:p w14:paraId="17B00E8E"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TOTAL</w:t>
            </w:r>
          </w:p>
        </w:tc>
        <w:tc>
          <w:tcPr>
            <w:tcW w:w="1260" w:type="dxa"/>
            <w:tcBorders>
              <w:top w:val="nil"/>
              <w:left w:val="nil"/>
              <w:bottom w:val="nil"/>
              <w:right w:val="nil"/>
            </w:tcBorders>
          </w:tcPr>
          <w:p w14:paraId="582B27D7"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$278,287,721</w:t>
            </w:r>
          </w:p>
        </w:tc>
        <w:tc>
          <w:tcPr>
            <w:tcW w:w="720" w:type="dxa"/>
            <w:tcBorders>
              <w:top w:val="nil"/>
              <w:left w:val="nil"/>
              <w:bottom w:val="nil"/>
              <w:right w:val="nil"/>
            </w:tcBorders>
          </w:tcPr>
          <w:p w14:paraId="0AA43D2C"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742,211 </w:t>
            </w:r>
          </w:p>
        </w:tc>
        <w:tc>
          <w:tcPr>
            <w:tcW w:w="630" w:type="dxa"/>
            <w:tcBorders>
              <w:top w:val="nil"/>
              <w:left w:val="nil"/>
              <w:bottom w:val="nil"/>
              <w:right w:val="nil"/>
            </w:tcBorders>
          </w:tcPr>
          <w:p w14:paraId="59CB8132"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6F284E8D"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$92,762,574</w:t>
            </w:r>
          </w:p>
        </w:tc>
        <w:tc>
          <w:tcPr>
            <w:tcW w:w="720" w:type="dxa"/>
            <w:tcBorders>
              <w:top w:val="nil"/>
              <w:left w:val="nil"/>
              <w:bottom w:val="nil"/>
              <w:right w:val="nil"/>
            </w:tcBorders>
          </w:tcPr>
          <w:p w14:paraId="785A6CEF"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 xml:space="preserve"> 39,174 </w:t>
            </w:r>
          </w:p>
        </w:tc>
        <w:tc>
          <w:tcPr>
            <w:tcW w:w="630" w:type="dxa"/>
            <w:tcBorders>
              <w:top w:val="nil"/>
              <w:left w:val="nil"/>
              <w:bottom w:val="nil"/>
              <w:right w:val="nil"/>
            </w:tcBorders>
          </w:tcPr>
          <w:p w14:paraId="4011F473"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0BDBC1B6"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$92,762,574</w:t>
            </w:r>
          </w:p>
        </w:tc>
        <w:tc>
          <w:tcPr>
            <w:tcW w:w="630" w:type="dxa"/>
            <w:tcBorders>
              <w:top w:val="nil"/>
              <w:left w:val="nil"/>
              <w:bottom w:val="nil"/>
              <w:right w:val="nil"/>
            </w:tcBorders>
          </w:tcPr>
          <w:p w14:paraId="08A3261B"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75F99C1E"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$92,762,575</w:t>
            </w:r>
          </w:p>
        </w:tc>
        <w:tc>
          <w:tcPr>
            <w:tcW w:w="1080" w:type="dxa"/>
            <w:tcBorders>
              <w:top w:val="nil"/>
              <w:left w:val="nil"/>
              <w:bottom w:val="nil"/>
              <w:right w:val="nil"/>
            </w:tcBorders>
          </w:tcPr>
          <w:p w14:paraId="03E72197"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$278,287,722</w:t>
            </w:r>
          </w:p>
        </w:tc>
      </w:tr>
      <w:tr w:rsidR="00C172C1" w:rsidRPr="00C172C1" w14:paraId="0C5A0F60" w14:textId="77777777" w:rsidTr="002A0139">
        <w:trPr>
          <w:trHeight w:val="300"/>
        </w:trPr>
        <w:tc>
          <w:tcPr>
            <w:tcW w:w="1854" w:type="dxa"/>
            <w:tcBorders>
              <w:top w:val="nil"/>
              <w:left w:val="nil"/>
              <w:bottom w:val="nil"/>
              <w:right w:val="nil"/>
            </w:tcBorders>
          </w:tcPr>
          <w:p w14:paraId="069F0E2D"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1260" w:type="dxa"/>
            <w:tcBorders>
              <w:top w:val="nil"/>
              <w:left w:val="nil"/>
              <w:bottom w:val="nil"/>
              <w:right w:val="nil"/>
            </w:tcBorders>
          </w:tcPr>
          <w:p w14:paraId="1EEF995C"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68DB1D0F"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38F6C2F5"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6DA20A2B"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7C6CF34D"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7ABECF86"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052C3FF2"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0D9DC88F"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7923DEC7"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1080" w:type="dxa"/>
            <w:tcBorders>
              <w:top w:val="nil"/>
              <w:left w:val="nil"/>
              <w:bottom w:val="nil"/>
              <w:right w:val="nil"/>
            </w:tcBorders>
          </w:tcPr>
          <w:p w14:paraId="70266769" w14:textId="77777777" w:rsidR="00C172C1" w:rsidRPr="00C172C1" w:rsidRDefault="00C172C1">
            <w:pPr>
              <w:widowControl w:val="0"/>
              <w:autoSpaceDE w:val="0"/>
              <w:autoSpaceDN w:val="0"/>
              <w:adjustRightInd w:val="0"/>
              <w:rPr>
                <w:rFonts w:ascii="Calibri" w:hAnsi="Calibri" w:cs="Calibri"/>
                <w:color w:val="000000"/>
                <w:sz w:val="16"/>
                <w:szCs w:val="16"/>
              </w:rPr>
            </w:pPr>
          </w:p>
        </w:tc>
      </w:tr>
      <w:tr w:rsidR="00C172C1" w:rsidRPr="00C172C1" w14:paraId="1114E2F5" w14:textId="77777777" w:rsidTr="002A0139">
        <w:trPr>
          <w:trHeight w:val="300"/>
        </w:trPr>
        <w:tc>
          <w:tcPr>
            <w:tcW w:w="1854" w:type="dxa"/>
            <w:tcBorders>
              <w:top w:val="nil"/>
              <w:left w:val="nil"/>
              <w:bottom w:val="nil"/>
              <w:right w:val="nil"/>
            </w:tcBorders>
          </w:tcPr>
          <w:p w14:paraId="760C7C76"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Part I - General support</w:t>
            </w:r>
          </w:p>
        </w:tc>
        <w:tc>
          <w:tcPr>
            <w:tcW w:w="1260" w:type="dxa"/>
            <w:tcBorders>
              <w:top w:val="nil"/>
              <w:left w:val="nil"/>
              <w:bottom w:val="nil"/>
              <w:right w:val="nil"/>
            </w:tcBorders>
          </w:tcPr>
          <w:p w14:paraId="580FA99C"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$92,762,573.67</w:t>
            </w:r>
          </w:p>
        </w:tc>
        <w:tc>
          <w:tcPr>
            <w:tcW w:w="720" w:type="dxa"/>
            <w:tcBorders>
              <w:top w:val="nil"/>
              <w:left w:val="nil"/>
              <w:bottom w:val="nil"/>
              <w:right w:val="nil"/>
            </w:tcBorders>
          </w:tcPr>
          <w:p w14:paraId="6BEAB17E"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25A8173A"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3C8FC7A4"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72EAA190"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2E44F9FD"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27372F4F"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0B1EBFB8"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35ADBD67"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1080" w:type="dxa"/>
            <w:tcBorders>
              <w:top w:val="nil"/>
              <w:left w:val="nil"/>
              <w:bottom w:val="nil"/>
              <w:right w:val="nil"/>
            </w:tcBorders>
          </w:tcPr>
          <w:p w14:paraId="6547DDCD" w14:textId="77777777" w:rsidR="00C172C1" w:rsidRPr="00C172C1" w:rsidRDefault="00C172C1">
            <w:pPr>
              <w:widowControl w:val="0"/>
              <w:autoSpaceDE w:val="0"/>
              <w:autoSpaceDN w:val="0"/>
              <w:adjustRightInd w:val="0"/>
              <w:rPr>
                <w:rFonts w:ascii="Calibri" w:hAnsi="Calibri" w:cs="Calibri"/>
                <w:color w:val="000000"/>
                <w:sz w:val="16"/>
                <w:szCs w:val="16"/>
              </w:rPr>
            </w:pPr>
          </w:p>
        </w:tc>
      </w:tr>
      <w:tr w:rsidR="00C172C1" w:rsidRPr="00C172C1" w14:paraId="39F8CE35" w14:textId="77777777" w:rsidTr="002A0139">
        <w:trPr>
          <w:trHeight w:val="300"/>
        </w:trPr>
        <w:tc>
          <w:tcPr>
            <w:tcW w:w="1854" w:type="dxa"/>
            <w:tcBorders>
              <w:top w:val="nil"/>
              <w:left w:val="nil"/>
              <w:bottom w:val="nil"/>
              <w:right w:val="nil"/>
            </w:tcBorders>
          </w:tcPr>
          <w:p w14:paraId="6953908A"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Part II - In-state student subsidization</w:t>
            </w:r>
          </w:p>
        </w:tc>
        <w:tc>
          <w:tcPr>
            <w:tcW w:w="1260" w:type="dxa"/>
            <w:tcBorders>
              <w:top w:val="nil"/>
              <w:left w:val="nil"/>
              <w:bottom w:val="nil"/>
              <w:right w:val="nil"/>
            </w:tcBorders>
          </w:tcPr>
          <w:p w14:paraId="45DCFF89"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$92,762,573.67</w:t>
            </w:r>
          </w:p>
        </w:tc>
        <w:tc>
          <w:tcPr>
            <w:tcW w:w="720" w:type="dxa"/>
            <w:tcBorders>
              <w:top w:val="nil"/>
              <w:left w:val="nil"/>
              <w:bottom w:val="nil"/>
              <w:right w:val="nil"/>
            </w:tcBorders>
          </w:tcPr>
          <w:p w14:paraId="4A43F8D8"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2CAE5AA6"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37D86686"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03E202D1"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1092C121"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6907C11D"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6988633A"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3053A547"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1080" w:type="dxa"/>
            <w:tcBorders>
              <w:top w:val="nil"/>
              <w:left w:val="nil"/>
              <w:bottom w:val="nil"/>
              <w:right w:val="nil"/>
            </w:tcBorders>
          </w:tcPr>
          <w:p w14:paraId="13F85C47" w14:textId="77777777" w:rsidR="00C172C1" w:rsidRPr="00C172C1" w:rsidRDefault="00C172C1">
            <w:pPr>
              <w:widowControl w:val="0"/>
              <w:autoSpaceDE w:val="0"/>
              <w:autoSpaceDN w:val="0"/>
              <w:adjustRightInd w:val="0"/>
              <w:rPr>
                <w:rFonts w:ascii="Calibri" w:hAnsi="Calibri" w:cs="Calibri"/>
                <w:color w:val="000000"/>
                <w:sz w:val="16"/>
                <w:szCs w:val="16"/>
              </w:rPr>
            </w:pPr>
          </w:p>
        </w:tc>
      </w:tr>
      <w:tr w:rsidR="00C172C1" w:rsidRPr="00C172C1" w14:paraId="54E52202" w14:textId="77777777" w:rsidTr="002A0139">
        <w:trPr>
          <w:trHeight w:val="300"/>
        </w:trPr>
        <w:tc>
          <w:tcPr>
            <w:tcW w:w="1854" w:type="dxa"/>
            <w:tcBorders>
              <w:top w:val="nil"/>
              <w:left w:val="nil"/>
              <w:bottom w:val="nil"/>
              <w:right w:val="nil"/>
            </w:tcBorders>
          </w:tcPr>
          <w:p w14:paraId="190BACDC"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Part III - Public policy goals</w:t>
            </w:r>
          </w:p>
        </w:tc>
        <w:tc>
          <w:tcPr>
            <w:tcW w:w="1260" w:type="dxa"/>
            <w:tcBorders>
              <w:top w:val="nil"/>
              <w:left w:val="nil"/>
              <w:bottom w:val="nil"/>
              <w:right w:val="nil"/>
            </w:tcBorders>
          </w:tcPr>
          <w:p w14:paraId="6FF33315" w14:textId="77777777" w:rsidR="00C172C1" w:rsidRPr="00C172C1" w:rsidRDefault="00C172C1">
            <w:pPr>
              <w:widowControl w:val="0"/>
              <w:autoSpaceDE w:val="0"/>
              <w:autoSpaceDN w:val="0"/>
              <w:adjustRightInd w:val="0"/>
              <w:jc w:val="right"/>
              <w:rPr>
                <w:rFonts w:ascii="Calibri" w:hAnsi="Calibri" w:cs="Calibri"/>
                <w:color w:val="000000"/>
                <w:sz w:val="16"/>
                <w:szCs w:val="16"/>
              </w:rPr>
            </w:pPr>
            <w:r w:rsidRPr="00C172C1">
              <w:rPr>
                <w:rFonts w:ascii="Calibri" w:hAnsi="Calibri" w:cs="Calibri"/>
                <w:color w:val="000000"/>
                <w:sz w:val="16"/>
                <w:szCs w:val="16"/>
              </w:rPr>
              <w:t>$92,762,573.67</w:t>
            </w:r>
          </w:p>
        </w:tc>
        <w:tc>
          <w:tcPr>
            <w:tcW w:w="720" w:type="dxa"/>
            <w:tcBorders>
              <w:top w:val="nil"/>
              <w:left w:val="nil"/>
              <w:bottom w:val="nil"/>
              <w:right w:val="nil"/>
            </w:tcBorders>
          </w:tcPr>
          <w:p w14:paraId="5FFBB18D"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55D7510D"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404D4FF7"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720" w:type="dxa"/>
            <w:tcBorders>
              <w:top w:val="nil"/>
              <w:left w:val="nil"/>
              <w:bottom w:val="nil"/>
              <w:right w:val="nil"/>
            </w:tcBorders>
          </w:tcPr>
          <w:p w14:paraId="71019450"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64A3BC3E"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78798809"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630" w:type="dxa"/>
            <w:tcBorders>
              <w:top w:val="nil"/>
              <w:left w:val="nil"/>
              <w:bottom w:val="nil"/>
              <w:right w:val="nil"/>
            </w:tcBorders>
          </w:tcPr>
          <w:p w14:paraId="6964C896"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990" w:type="dxa"/>
            <w:tcBorders>
              <w:top w:val="nil"/>
              <w:left w:val="nil"/>
              <w:bottom w:val="nil"/>
              <w:right w:val="nil"/>
            </w:tcBorders>
          </w:tcPr>
          <w:p w14:paraId="5A70247E" w14:textId="77777777" w:rsidR="00C172C1" w:rsidRPr="00C172C1" w:rsidRDefault="00C172C1">
            <w:pPr>
              <w:widowControl w:val="0"/>
              <w:autoSpaceDE w:val="0"/>
              <w:autoSpaceDN w:val="0"/>
              <w:adjustRightInd w:val="0"/>
              <w:rPr>
                <w:rFonts w:ascii="Calibri" w:hAnsi="Calibri" w:cs="Calibri"/>
                <w:color w:val="000000"/>
                <w:sz w:val="16"/>
                <w:szCs w:val="16"/>
              </w:rPr>
            </w:pPr>
          </w:p>
        </w:tc>
        <w:tc>
          <w:tcPr>
            <w:tcW w:w="1080" w:type="dxa"/>
            <w:tcBorders>
              <w:top w:val="nil"/>
              <w:left w:val="nil"/>
              <w:bottom w:val="nil"/>
              <w:right w:val="nil"/>
            </w:tcBorders>
          </w:tcPr>
          <w:p w14:paraId="1B34D53C" w14:textId="77777777" w:rsidR="00C172C1" w:rsidRPr="00C172C1" w:rsidRDefault="00C172C1">
            <w:pPr>
              <w:widowControl w:val="0"/>
              <w:autoSpaceDE w:val="0"/>
              <w:autoSpaceDN w:val="0"/>
              <w:adjustRightInd w:val="0"/>
              <w:rPr>
                <w:rFonts w:ascii="Calibri" w:hAnsi="Calibri" w:cs="Calibri"/>
                <w:color w:val="000000"/>
                <w:sz w:val="16"/>
                <w:szCs w:val="16"/>
              </w:rPr>
            </w:pPr>
          </w:p>
        </w:tc>
      </w:tr>
    </w:tbl>
    <w:p w14:paraId="75567DF1" w14:textId="77777777" w:rsidR="00C172C1" w:rsidRDefault="00C172C1"/>
    <w:p w14:paraId="6A7B0930" w14:textId="77777777" w:rsidR="00C172C1" w:rsidRDefault="00C172C1" w:rsidP="00C172C1">
      <w:pPr>
        <w:spacing w:line="480" w:lineRule="auto"/>
      </w:pPr>
    </w:p>
    <w:p w14:paraId="73231373" w14:textId="77777777" w:rsidR="00C172C1" w:rsidRDefault="00C172C1" w:rsidP="00C172C1">
      <w:pPr>
        <w:spacing w:line="480" w:lineRule="auto"/>
      </w:pPr>
    </w:p>
    <w:p w14:paraId="23AE22D5" w14:textId="77777777" w:rsidR="00C172C1" w:rsidRPr="00F930BC" w:rsidRDefault="00C172C1" w:rsidP="00C172C1">
      <w:pPr>
        <w:spacing w:line="480" w:lineRule="auto"/>
      </w:pPr>
    </w:p>
    <w:sectPr w:rsidR="00C172C1" w:rsidRPr="00F930BC" w:rsidSect="001D53B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FF777" w14:textId="77777777" w:rsidR="00C172C1" w:rsidRDefault="00C172C1" w:rsidP="00646947">
      <w:r>
        <w:separator/>
      </w:r>
    </w:p>
  </w:endnote>
  <w:endnote w:type="continuationSeparator" w:id="0">
    <w:p w14:paraId="118991CA" w14:textId="77777777" w:rsidR="00C172C1" w:rsidRDefault="00C172C1" w:rsidP="0064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E780" w14:textId="77777777" w:rsidR="00C172C1" w:rsidRDefault="00C172C1" w:rsidP="006469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5FABD" w14:textId="77777777" w:rsidR="00C172C1" w:rsidRDefault="00C172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0600" w14:textId="77777777" w:rsidR="00C172C1" w:rsidRDefault="00C172C1" w:rsidP="006469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73C">
      <w:rPr>
        <w:rStyle w:val="PageNumber"/>
        <w:noProof/>
      </w:rPr>
      <w:t>2</w:t>
    </w:r>
    <w:r>
      <w:rPr>
        <w:rStyle w:val="PageNumber"/>
      </w:rPr>
      <w:fldChar w:fldCharType="end"/>
    </w:r>
  </w:p>
  <w:p w14:paraId="426FE2F1" w14:textId="77777777" w:rsidR="00C172C1" w:rsidRDefault="00C172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9B59C" w14:textId="77777777" w:rsidR="00C172C1" w:rsidRDefault="00C172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CA090" w14:textId="77777777" w:rsidR="00C172C1" w:rsidRDefault="00C172C1" w:rsidP="00646947">
      <w:r>
        <w:separator/>
      </w:r>
    </w:p>
  </w:footnote>
  <w:footnote w:type="continuationSeparator" w:id="0">
    <w:p w14:paraId="13991361" w14:textId="77777777" w:rsidR="00C172C1" w:rsidRDefault="00C172C1" w:rsidP="00646947">
      <w:r>
        <w:continuationSeparator/>
      </w:r>
    </w:p>
  </w:footnote>
  <w:footnote w:id="1">
    <w:p w14:paraId="585E090B" w14:textId="37634DD5" w:rsidR="00C172C1" w:rsidRPr="00456C63" w:rsidRDefault="00C172C1" w:rsidP="00456C63">
      <w:pPr>
        <w:pStyle w:val="FootnoteText"/>
        <w:jc w:val="both"/>
        <w:rPr>
          <w:sz w:val="20"/>
          <w:szCs w:val="20"/>
        </w:rPr>
      </w:pPr>
      <w:r w:rsidRPr="007777FA">
        <w:rPr>
          <w:rStyle w:val="FootnoteReference"/>
          <w:sz w:val="20"/>
          <w:szCs w:val="20"/>
        </w:rPr>
        <w:footnoteRef/>
      </w:r>
      <w:r w:rsidRPr="007777FA">
        <w:rPr>
          <w:sz w:val="20"/>
          <w:szCs w:val="20"/>
        </w:rPr>
        <w:t xml:space="preserve"> </w:t>
      </w:r>
      <w:r w:rsidRPr="00456C63">
        <w:rPr>
          <w:i/>
          <w:sz w:val="20"/>
          <w:szCs w:val="20"/>
        </w:rPr>
        <w:t xml:space="preserve">Financing West Virginia’s Future: A Funding Model for Higher Education, </w:t>
      </w:r>
      <w:r w:rsidRPr="00456C63">
        <w:rPr>
          <w:sz w:val="20"/>
          <w:szCs w:val="20"/>
        </w:rPr>
        <w:t>West Virginia Higher Education Policy Commission Efficiencies Project, January 21, 2011, p. 1.</w:t>
      </w:r>
    </w:p>
  </w:footnote>
  <w:footnote w:id="2">
    <w:p w14:paraId="29D46F27" w14:textId="77777777" w:rsidR="00C172C1" w:rsidRDefault="00C172C1" w:rsidP="0016293B">
      <w:pPr>
        <w:pStyle w:val="FootnoteText"/>
      </w:pPr>
      <w:r w:rsidRPr="007777FA">
        <w:rPr>
          <w:rStyle w:val="FootnoteReference"/>
          <w:sz w:val="20"/>
          <w:szCs w:val="20"/>
        </w:rPr>
        <w:footnoteRef/>
      </w:r>
      <w:r w:rsidRPr="007777FA">
        <w:rPr>
          <w:sz w:val="20"/>
          <w:szCs w:val="20"/>
        </w:rPr>
        <w:t xml:space="preserve"> </w:t>
      </w:r>
      <w:r w:rsidRPr="00A1111E">
        <w:rPr>
          <w:sz w:val="20"/>
          <w:szCs w:val="20"/>
        </w:rPr>
        <w:t>W.Va. Code §18B-1B-4(a)(2)</w:t>
      </w:r>
    </w:p>
  </w:footnote>
  <w:footnote w:id="3">
    <w:p w14:paraId="46B512BF" w14:textId="153709FC" w:rsidR="00C172C1" w:rsidRPr="007777FA" w:rsidRDefault="00C172C1">
      <w:pPr>
        <w:pStyle w:val="FootnoteText"/>
        <w:rPr>
          <w:sz w:val="20"/>
          <w:szCs w:val="20"/>
        </w:rPr>
      </w:pPr>
      <w:r w:rsidRPr="007777FA">
        <w:rPr>
          <w:rStyle w:val="FootnoteReference"/>
          <w:sz w:val="20"/>
          <w:szCs w:val="20"/>
        </w:rPr>
        <w:footnoteRef/>
      </w:r>
      <w:r w:rsidRPr="007777FA">
        <w:rPr>
          <w:sz w:val="20"/>
          <w:szCs w:val="20"/>
        </w:rPr>
        <w:t xml:space="preserve"> </w:t>
      </w:r>
      <w:r>
        <w:rPr>
          <w:sz w:val="20"/>
          <w:szCs w:val="20"/>
        </w:rPr>
        <w:t xml:space="preserve">Rice, Otis K. and Brown, Stephen W., </w:t>
      </w:r>
      <w:r w:rsidRPr="007777FA">
        <w:rPr>
          <w:i/>
          <w:sz w:val="20"/>
          <w:szCs w:val="20"/>
        </w:rPr>
        <w:t>West Virginia: A History (Second Edition)</w:t>
      </w:r>
      <w:r>
        <w:rPr>
          <w:sz w:val="20"/>
          <w:szCs w:val="20"/>
        </w:rPr>
        <w:t xml:space="preserve">, The University of Kentucky Press (1993), </w:t>
      </w:r>
      <w:proofErr w:type="gramStart"/>
      <w:r>
        <w:rPr>
          <w:sz w:val="20"/>
          <w:szCs w:val="20"/>
        </w:rPr>
        <w:t>p</w:t>
      </w:r>
      <w:proofErr w:type="gramEnd"/>
      <w:r>
        <w:rPr>
          <w:sz w:val="20"/>
          <w:szCs w:val="20"/>
        </w:rPr>
        <w:t>. 72.</w:t>
      </w:r>
    </w:p>
  </w:footnote>
  <w:footnote w:id="4">
    <w:p w14:paraId="31CDF337" w14:textId="5FADF3D9" w:rsidR="00C172C1" w:rsidRPr="00CC6737" w:rsidRDefault="00C172C1">
      <w:pPr>
        <w:pStyle w:val="FootnoteText"/>
        <w:rPr>
          <w:sz w:val="20"/>
          <w:szCs w:val="20"/>
        </w:rPr>
      </w:pPr>
      <w:r w:rsidRPr="00CC6737">
        <w:rPr>
          <w:rStyle w:val="FootnoteReference"/>
          <w:sz w:val="20"/>
          <w:szCs w:val="20"/>
        </w:rPr>
        <w:footnoteRef/>
      </w:r>
      <w:r w:rsidRPr="00CC6737">
        <w:rPr>
          <w:sz w:val="20"/>
          <w:szCs w:val="20"/>
        </w:rPr>
        <w:t xml:space="preserve"> </w:t>
      </w:r>
      <w:r>
        <w:rPr>
          <w:sz w:val="20"/>
          <w:szCs w:val="20"/>
        </w:rPr>
        <w:t xml:space="preserve">Rice, </w:t>
      </w:r>
      <w:r w:rsidRPr="00CC6737">
        <w:rPr>
          <w:i/>
          <w:sz w:val="20"/>
          <w:szCs w:val="20"/>
        </w:rPr>
        <w:t>ibid</w:t>
      </w:r>
      <w:r>
        <w:rPr>
          <w:sz w:val="20"/>
          <w:szCs w:val="20"/>
        </w:rPr>
        <w:t>, p. 73.</w:t>
      </w:r>
    </w:p>
  </w:footnote>
  <w:footnote w:id="5">
    <w:p w14:paraId="0335C8AF" w14:textId="11BB5333" w:rsidR="00C172C1" w:rsidRDefault="00C172C1">
      <w:pPr>
        <w:pStyle w:val="FootnoteText"/>
      </w:pPr>
      <w:r>
        <w:rPr>
          <w:rStyle w:val="FootnoteReference"/>
        </w:rPr>
        <w:footnoteRef/>
      </w:r>
      <w:r>
        <w:t xml:space="preserve"> </w:t>
      </w:r>
      <w:r w:rsidRPr="009D4D46">
        <w:rPr>
          <w:sz w:val="20"/>
          <w:szCs w:val="20"/>
        </w:rPr>
        <w:t>The HEPC also governs Potomac State College, a two-year college affiliated with West Virginia University and the West Virginia School for Osteopathic Medicine.</w:t>
      </w:r>
    </w:p>
  </w:footnote>
  <w:footnote w:id="6">
    <w:p w14:paraId="0FC22534" w14:textId="77777777" w:rsidR="00C172C1" w:rsidRDefault="00C172C1" w:rsidP="00CF5FF8">
      <w:pPr>
        <w:pStyle w:val="FootnoteText"/>
      </w:pPr>
      <w:r>
        <w:rPr>
          <w:rStyle w:val="FootnoteReference"/>
        </w:rPr>
        <w:footnoteRef/>
      </w:r>
      <w:r>
        <w:t xml:space="preserve"> </w:t>
      </w:r>
      <w:proofErr w:type="gramStart"/>
      <w:r w:rsidRPr="00FA02E8">
        <w:rPr>
          <w:sz w:val="20"/>
          <w:szCs w:val="20"/>
        </w:rPr>
        <w:t>W.Va. Code §18B-1A-5(b)(1).</w:t>
      </w:r>
      <w:proofErr w:type="gramEnd"/>
    </w:p>
  </w:footnote>
  <w:footnote w:id="7">
    <w:p w14:paraId="407121F1" w14:textId="1A948B7E" w:rsidR="00C172C1" w:rsidRPr="00D14A9B" w:rsidRDefault="00C172C1">
      <w:pPr>
        <w:pStyle w:val="FootnoteText"/>
        <w:rPr>
          <w:sz w:val="20"/>
          <w:szCs w:val="20"/>
        </w:rPr>
      </w:pPr>
      <w:r w:rsidRPr="00D14A9B">
        <w:rPr>
          <w:rStyle w:val="FootnoteReference"/>
          <w:sz w:val="20"/>
          <w:szCs w:val="20"/>
        </w:rPr>
        <w:footnoteRef/>
      </w:r>
      <w:r w:rsidRPr="00D14A9B">
        <w:rPr>
          <w:sz w:val="20"/>
          <w:szCs w:val="20"/>
        </w:rPr>
        <w:t xml:space="preserve"> </w:t>
      </w:r>
      <w:r>
        <w:rPr>
          <w:sz w:val="20"/>
          <w:szCs w:val="20"/>
        </w:rPr>
        <w:t>The general assumption is that the primary reason for a student to attend college is to receive instruction.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C35D" w14:textId="0B3AFEC5" w:rsidR="00C172C1" w:rsidRDefault="00C172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E157" w14:textId="530894A2" w:rsidR="00C172C1" w:rsidRDefault="00C172C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1AAC8" w14:textId="714C7EF7" w:rsidR="00C172C1" w:rsidRDefault="00C172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2133"/>
    <w:multiLevelType w:val="multilevel"/>
    <w:tmpl w:val="445AB422"/>
    <w:lvl w:ilvl="0">
      <w:start w:val="1"/>
      <w:numFmt w:val="upperLetter"/>
      <w:lvlText w:val="(%1)"/>
      <w:lvlJc w:val="left"/>
      <w:pPr>
        <w:ind w:left="1140" w:hanging="4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A85361D"/>
    <w:multiLevelType w:val="hybridMultilevel"/>
    <w:tmpl w:val="49E8BB16"/>
    <w:lvl w:ilvl="0" w:tplc="13FAA8B2">
      <w:start w:val="1"/>
      <w:numFmt w:val="decimal"/>
      <w:lvlText w:val="%1."/>
      <w:lvlJc w:val="left"/>
      <w:pPr>
        <w:ind w:left="216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24EE5"/>
    <w:multiLevelType w:val="hybridMultilevel"/>
    <w:tmpl w:val="445AB422"/>
    <w:lvl w:ilvl="0" w:tplc="4472347E">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D05380"/>
    <w:multiLevelType w:val="hybridMultilevel"/>
    <w:tmpl w:val="521E9B1A"/>
    <w:lvl w:ilvl="0" w:tplc="13FAA8B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080844"/>
    <w:multiLevelType w:val="hybridMultilevel"/>
    <w:tmpl w:val="AF9EB880"/>
    <w:lvl w:ilvl="0" w:tplc="13FAA8B2">
      <w:start w:val="1"/>
      <w:numFmt w:val="decimal"/>
      <w:lvlText w:val="%1."/>
      <w:lvlJc w:val="left"/>
      <w:pPr>
        <w:ind w:left="216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873F5"/>
    <w:multiLevelType w:val="hybridMultilevel"/>
    <w:tmpl w:val="445AB422"/>
    <w:lvl w:ilvl="0" w:tplc="4472347E">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B83B8F"/>
    <w:multiLevelType w:val="hybridMultilevel"/>
    <w:tmpl w:val="58AE7AAC"/>
    <w:lvl w:ilvl="0" w:tplc="51CEE252">
      <w:start w:val="3"/>
      <w:numFmt w:val="upperLetter"/>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056E4"/>
    <w:multiLevelType w:val="hybridMultilevel"/>
    <w:tmpl w:val="40961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827F27"/>
    <w:multiLevelType w:val="hybridMultilevel"/>
    <w:tmpl w:val="866EAB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BC"/>
    <w:rsid w:val="000355F6"/>
    <w:rsid w:val="000368C7"/>
    <w:rsid w:val="00071B33"/>
    <w:rsid w:val="00156FF1"/>
    <w:rsid w:val="0016293B"/>
    <w:rsid w:val="001A43F5"/>
    <w:rsid w:val="001D53B6"/>
    <w:rsid w:val="0026773C"/>
    <w:rsid w:val="00271F25"/>
    <w:rsid w:val="002A0139"/>
    <w:rsid w:val="002C52BD"/>
    <w:rsid w:val="002C6D80"/>
    <w:rsid w:val="002D0E03"/>
    <w:rsid w:val="002D6486"/>
    <w:rsid w:val="002E6DA9"/>
    <w:rsid w:val="002F2A08"/>
    <w:rsid w:val="00313F31"/>
    <w:rsid w:val="003860C2"/>
    <w:rsid w:val="00387B59"/>
    <w:rsid w:val="003C0EE0"/>
    <w:rsid w:val="00405814"/>
    <w:rsid w:val="00415A91"/>
    <w:rsid w:val="00456C63"/>
    <w:rsid w:val="004F52ED"/>
    <w:rsid w:val="0052423E"/>
    <w:rsid w:val="005336DB"/>
    <w:rsid w:val="00535F27"/>
    <w:rsid w:val="005507EE"/>
    <w:rsid w:val="00564C05"/>
    <w:rsid w:val="00646947"/>
    <w:rsid w:val="00662725"/>
    <w:rsid w:val="006B377E"/>
    <w:rsid w:val="006E1611"/>
    <w:rsid w:val="006E5F50"/>
    <w:rsid w:val="007013CC"/>
    <w:rsid w:val="0070221D"/>
    <w:rsid w:val="007777FA"/>
    <w:rsid w:val="0078452B"/>
    <w:rsid w:val="007F606B"/>
    <w:rsid w:val="00815267"/>
    <w:rsid w:val="00894982"/>
    <w:rsid w:val="008E0831"/>
    <w:rsid w:val="00950840"/>
    <w:rsid w:val="00963BC8"/>
    <w:rsid w:val="009B099D"/>
    <w:rsid w:val="009C5A47"/>
    <w:rsid w:val="009D4D46"/>
    <w:rsid w:val="009E6683"/>
    <w:rsid w:val="00A1111E"/>
    <w:rsid w:val="00A55268"/>
    <w:rsid w:val="00B54C6A"/>
    <w:rsid w:val="00B576B8"/>
    <w:rsid w:val="00B85150"/>
    <w:rsid w:val="00B9183A"/>
    <w:rsid w:val="00C049D1"/>
    <w:rsid w:val="00C172C1"/>
    <w:rsid w:val="00C27C7D"/>
    <w:rsid w:val="00C36620"/>
    <w:rsid w:val="00C37695"/>
    <w:rsid w:val="00CC6737"/>
    <w:rsid w:val="00CF5FF8"/>
    <w:rsid w:val="00D14962"/>
    <w:rsid w:val="00D14A9B"/>
    <w:rsid w:val="00D90E47"/>
    <w:rsid w:val="00D94CE4"/>
    <w:rsid w:val="00DD1004"/>
    <w:rsid w:val="00DF225A"/>
    <w:rsid w:val="00E456B2"/>
    <w:rsid w:val="00E64792"/>
    <w:rsid w:val="00F631EA"/>
    <w:rsid w:val="00F930BC"/>
    <w:rsid w:val="00F952CF"/>
    <w:rsid w:val="00FA02E8"/>
    <w:rsid w:val="00FF17D8"/>
    <w:rsid w:val="00FF6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463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F50"/>
    <w:pPr>
      <w:ind w:left="720"/>
      <w:contextualSpacing/>
    </w:pPr>
  </w:style>
  <w:style w:type="paragraph" w:styleId="Footer">
    <w:name w:val="footer"/>
    <w:basedOn w:val="Normal"/>
    <w:link w:val="FooterChar"/>
    <w:uiPriority w:val="99"/>
    <w:unhideWhenUsed/>
    <w:rsid w:val="00646947"/>
    <w:pPr>
      <w:tabs>
        <w:tab w:val="center" w:pos="4320"/>
        <w:tab w:val="right" w:pos="8640"/>
      </w:tabs>
    </w:pPr>
  </w:style>
  <w:style w:type="character" w:customStyle="1" w:styleId="FooterChar">
    <w:name w:val="Footer Char"/>
    <w:basedOn w:val="DefaultParagraphFont"/>
    <w:link w:val="Footer"/>
    <w:uiPriority w:val="99"/>
    <w:rsid w:val="00646947"/>
  </w:style>
  <w:style w:type="character" w:styleId="PageNumber">
    <w:name w:val="page number"/>
    <w:basedOn w:val="DefaultParagraphFont"/>
    <w:uiPriority w:val="99"/>
    <w:semiHidden/>
    <w:unhideWhenUsed/>
    <w:rsid w:val="00646947"/>
  </w:style>
  <w:style w:type="paragraph" w:styleId="FootnoteText">
    <w:name w:val="footnote text"/>
    <w:basedOn w:val="Normal"/>
    <w:link w:val="FootnoteTextChar"/>
    <w:uiPriority w:val="99"/>
    <w:unhideWhenUsed/>
    <w:rsid w:val="00456C63"/>
  </w:style>
  <w:style w:type="character" w:customStyle="1" w:styleId="FootnoteTextChar">
    <w:name w:val="Footnote Text Char"/>
    <w:basedOn w:val="DefaultParagraphFont"/>
    <w:link w:val="FootnoteText"/>
    <w:uiPriority w:val="99"/>
    <w:rsid w:val="00456C63"/>
  </w:style>
  <w:style w:type="character" w:styleId="FootnoteReference">
    <w:name w:val="footnote reference"/>
    <w:basedOn w:val="DefaultParagraphFont"/>
    <w:uiPriority w:val="99"/>
    <w:unhideWhenUsed/>
    <w:rsid w:val="00456C63"/>
    <w:rPr>
      <w:vertAlign w:val="superscript"/>
    </w:rPr>
  </w:style>
  <w:style w:type="paragraph" w:styleId="Header">
    <w:name w:val="header"/>
    <w:basedOn w:val="Normal"/>
    <w:link w:val="HeaderChar"/>
    <w:uiPriority w:val="99"/>
    <w:unhideWhenUsed/>
    <w:rsid w:val="00271F25"/>
    <w:pPr>
      <w:tabs>
        <w:tab w:val="center" w:pos="4320"/>
        <w:tab w:val="right" w:pos="8640"/>
      </w:tabs>
    </w:pPr>
  </w:style>
  <w:style w:type="character" w:customStyle="1" w:styleId="HeaderChar">
    <w:name w:val="Header Char"/>
    <w:basedOn w:val="DefaultParagraphFont"/>
    <w:link w:val="Header"/>
    <w:uiPriority w:val="99"/>
    <w:rsid w:val="00271F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F50"/>
    <w:pPr>
      <w:ind w:left="720"/>
      <w:contextualSpacing/>
    </w:pPr>
  </w:style>
  <w:style w:type="paragraph" w:styleId="Footer">
    <w:name w:val="footer"/>
    <w:basedOn w:val="Normal"/>
    <w:link w:val="FooterChar"/>
    <w:uiPriority w:val="99"/>
    <w:unhideWhenUsed/>
    <w:rsid w:val="00646947"/>
    <w:pPr>
      <w:tabs>
        <w:tab w:val="center" w:pos="4320"/>
        <w:tab w:val="right" w:pos="8640"/>
      </w:tabs>
    </w:pPr>
  </w:style>
  <w:style w:type="character" w:customStyle="1" w:styleId="FooterChar">
    <w:name w:val="Footer Char"/>
    <w:basedOn w:val="DefaultParagraphFont"/>
    <w:link w:val="Footer"/>
    <w:uiPriority w:val="99"/>
    <w:rsid w:val="00646947"/>
  </w:style>
  <w:style w:type="character" w:styleId="PageNumber">
    <w:name w:val="page number"/>
    <w:basedOn w:val="DefaultParagraphFont"/>
    <w:uiPriority w:val="99"/>
    <w:semiHidden/>
    <w:unhideWhenUsed/>
    <w:rsid w:val="00646947"/>
  </w:style>
  <w:style w:type="paragraph" w:styleId="FootnoteText">
    <w:name w:val="footnote text"/>
    <w:basedOn w:val="Normal"/>
    <w:link w:val="FootnoteTextChar"/>
    <w:uiPriority w:val="99"/>
    <w:unhideWhenUsed/>
    <w:rsid w:val="00456C63"/>
  </w:style>
  <w:style w:type="character" w:customStyle="1" w:styleId="FootnoteTextChar">
    <w:name w:val="Footnote Text Char"/>
    <w:basedOn w:val="DefaultParagraphFont"/>
    <w:link w:val="FootnoteText"/>
    <w:uiPriority w:val="99"/>
    <w:rsid w:val="00456C63"/>
  </w:style>
  <w:style w:type="character" w:styleId="FootnoteReference">
    <w:name w:val="footnote reference"/>
    <w:basedOn w:val="DefaultParagraphFont"/>
    <w:uiPriority w:val="99"/>
    <w:unhideWhenUsed/>
    <w:rsid w:val="00456C63"/>
    <w:rPr>
      <w:vertAlign w:val="superscript"/>
    </w:rPr>
  </w:style>
  <w:style w:type="paragraph" w:styleId="Header">
    <w:name w:val="header"/>
    <w:basedOn w:val="Normal"/>
    <w:link w:val="HeaderChar"/>
    <w:uiPriority w:val="99"/>
    <w:unhideWhenUsed/>
    <w:rsid w:val="00271F25"/>
    <w:pPr>
      <w:tabs>
        <w:tab w:val="center" w:pos="4320"/>
        <w:tab w:val="right" w:pos="8640"/>
      </w:tabs>
    </w:pPr>
  </w:style>
  <w:style w:type="character" w:customStyle="1" w:styleId="HeaderChar">
    <w:name w:val="Header Char"/>
    <w:basedOn w:val="DefaultParagraphFont"/>
    <w:link w:val="Header"/>
    <w:uiPriority w:val="99"/>
    <w:rsid w:val="0027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28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844</TotalTime>
  <Pages>14</Pages>
  <Words>3292</Words>
  <Characters>18767</Characters>
  <Application>Microsoft Macintosh Word</Application>
  <DocSecurity>0</DocSecurity>
  <Lines>156</Lines>
  <Paragraphs>44</Paragraphs>
  <ScaleCrop>false</ScaleCrop>
  <Company/>
  <LinksUpToDate>false</LinksUpToDate>
  <CharactersWithSpaces>22015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Capehart</dc:creator>
  <cp:keywords/>
  <dc:description/>
  <cp:lastModifiedBy>Robin Capehart</cp:lastModifiedBy>
  <cp:revision>15</cp:revision>
  <cp:lastPrinted>2015-07-05T22:04:00Z</cp:lastPrinted>
  <dcterms:created xsi:type="dcterms:W3CDTF">2014-08-26T14:02:00Z</dcterms:created>
  <dcterms:modified xsi:type="dcterms:W3CDTF">2015-09-10T15:38:00Z</dcterms:modified>
</cp:coreProperties>
</file>